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70" w:rsidRDefault="00461E76" w:rsidP="00461E76">
      <w:pPr>
        <w:jc w:val="center"/>
        <w:rPr>
          <w:b/>
          <w:sz w:val="40"/>
          <w:szCs w:val="40"/>
          <w:u w:val="single"/>
        </w:rPr>
      </w:pPr>
      <w:r>
        <w:rPr>
          <w:b/>
          <w:sz w:val="40"/>
          <w:szCs w:val="40"/>
          <w:u w:val="single"/>
        </w:rPr>
        <w:t xml:space="preserve">Proposal to </w:t>
      </w:r>
      <w:r w:rsidR="007301C4">
        <w:rPr>
          <w:b/>
          <w:sz w:val="40"/>
          <w:szCs w:val="40"/>
          <w:u w:val="single"/>
        </w:rPr>
        <w:t>increase Convocation</w:t>
      </w:r>
      <w:r>
        <w:rPr>
          <w:b/>
          <w:sz w:val="40"/>
          <w:szCs w:val="40"/>
          <w:u w:val="single"/>
        </w:rPr>
        <w:t xml:space="preserve"> prizes and representation in the SUGC/SPGC</w:t>
      </w:r>
    </w:p>
    <w:p w:rsidR="00461E76" w:rsidRDefault="00461E76" w:rsidP="00461E76">
      <w:pPr>
        <w:jc w:val="right"/>
        <w:rPr>
          <w:i/>
        </w:rPr>
      </w:pPr>
    </w:p>
    <w:p w:rsidR="00461E76" w:rsidRDefault="00461E76" w:rsidP="00461E76">
      <w:pPr>
        <w:jc w:val="right"/>
        <w:rPr>
          <w:i/>
          <w:sz w:val="26"/>
          <w:szCs w:val="26"/>
        </w:rPr>
      </w:pPr>
      <w:r w:rsidRPr="00461E76">
        <w:rPr>
          <w:i/>
          <w:sz w:val="26"/>
          <w:szCs w:val="26"/>
        </w:rPr>
        <w:t>Anurag Sahay (11917141/11141)</w:t>
      </w:r>
    </w:p>
    <w:p w:rsidR="00461E76" w:rsidRDefault="00461E76" w:rsidP="00461E76">
      <w:pPr>
        <w:rPr>
          <w:sz w:val="28"/>
          <w:szCs w:val="28"/>
        </w:rPr>
      </w:pPr>
      <w:r>
        <w:rPr>
          <w:sz w:val="28"/>
          <w:szCs w:val="28"/>
        </w:rPr>
        <w:t>From 2006 to 2010, the sanctioned strength of the first year undergraduate batch has increased almost twofold, from 456 to 827. There has also been a commensurate in postgraduate degrees, and the Institute has indicated that there might be a further increase to that extent. As a consequence, the same number of student members (4 each) in the SUGC and SPGC represent a student body, which has doubled in size. As a consequence, this has increased the load on each individual student member.</w:t>
      </w:r>
    </w:p>
    <w:p w:rsidR="00461E76" w:rsidRDefault="00461E76" w:rsidP="00461E76">
      <w:pPr>
        <w:rPr>
          <w:sz w:val="28"/>
          <w:szCs w:val="28"/>
        </w:rPr>
      </w:pPr>
    </w:p>
    <w:p w:rsidR="00461E76" w:rsidRDefault="00461E76" w:rsidP="00461E76">
      <w:pPr>
        <w:rPr>
          <w:sz w:val="28"/>
          <w:szCs w:val="28"/>
        </w:rPr>
      </w:pPr>
      <w:r>
        <w:rPr>
          <w:sz w:val="28"/>
          <w:szCs w:val="28"/>
        </w:rPr>
        <w:t>Furthermore, there are the following issues with representation in the SUGC:</w:t>
      </w:r>
    </w:p>
    <w:p w:rsidR="00461E76" w:rsidRDefault="00461E76" w:rsidP="00461E76">
      <w:pPr>
        <w:rPr>
          <w:sz w:val="28"/>
          <w:szCs w:val="28"/>
        </w:rPr>
      </w:pPr>
    </w:p>
    <w:p w:rsidR="00461E76" w:rsidRDefault="00461E76" w:rsidP="00461E76">
      <w:pPr>
        <w:pStyle w:val="ListParagraph"/>
        <w:numPr>
          <w:ilvl w:val="0"/>
          <w:numId w:val="1"/>
        </w:numPr>
        <w:rPr>
          <w:sz w:val="28"/>
          <w:szCs w:val="28"/>
        </w:rPr>
      </w:pPr>
      <w:r>
        <w:rPr>
          <w:sz w:val="28"/>
          <w:szCs w:val="28"/>
        </w:rPr>
        <w:t>MSc (2 year) students from MTH, STA, CHM and PHY programmes are governed by the UG Manual and the SUGC. Furthermore, the Senate Manual prescribes that the student members of the SUGC must each be of different batches. Since there are five undergraduate batches and two MSc batches, this effectively means that the three batches do not get represented. For at least the past 5 years, and probably for much longer, these students have always been from the 2</w:t>
      </w:r>
      <w:r w:rsidRPr="00461E76">
        <w:rPr>
          <w:sz w:val="28"/>
          <w:szCs w:val="28"/>
          <w:vertAlign w:val="superscript"/>
        </w:rPr>
        <w:t>nd</w:t>
      </w:r>
      <w:r>
        <w:rPr>
          <w:sz w:val="28"/>
          <w:szCs w:val="28"/>
        </w:rPr>
        <w:t>, 3</w:t>
      </w:r>
      <w:r w:rsidRPr="00461E76">
        <w:rPr>
          <w:sz w:val="28"/>
          <w:szCs w:val="28"/>
          <w:vertAlign w:val="superscript"/>
        </w:rPr>
        <w:t>rd</w:t>
      </w:r>
      <w:r>
        <w:rPr>
          <w:sz w:val="28"/>
          <w:szCs w:val="28"/>
        </w:rPr>
        <w:t>, 4</w:t>
      </w:r>
      <w:r w:rsidRPr="00461E76">
        <w:rPr>
          <w:sz w:val="28"/>
          <w:szCs w:val="28"/>
          <w:vertAlign w:val="superscript"/>
        </w:rPr>
        <w:t>th</w:t>
      </w:r>
      <w:r>
        <w:rPr>
          <w:sz w:val="28"/>
          <w:szCs w:val="28"/>
        </w:rPr>
        <w:t xml:space="preserve"> and 5</w:t>
      </w:r>
      <w:r w:rsidRPr="00461E76">
        <w:rPr>
          <w:sz w:val="28"/>
          <w:szCs w:val="28"/>
          <w:vertAlign w:val="superscript"/>
        </w:rPr>
        <w:t>th</w:t>
      </w:r>
      <w:r>
        <w:rPr>
          <w:sz w:val="28"/>
          <w:szCs w:val="28"/>
        </w:rPr>
        <w:t xml:space="preserve"> years of the UG programme, and no student from the MSc programmes have ever been members.</w:t>
      </w:r>
    </w:p>
    <w:p w:rsidR="00461E76" w:rsidRDefault="00461E76" w:rsidP="00461E76">
      <w:pPr>
        <w:pStyle w:val="ListParagraph"/>
        <w:numPr>
          <w:ilvl w:val="0"/>
          <w:numId w:val="1"/>
        </w:numPr>
        <w:rPr>
          <w:sz w:val="28"/>
          <w:szCs w:val="28"/>
        </w:rPr>
      </w:pPr>
      <w:r>
        <w:rPr>
          <w:sz w:val="28"/>
          <w:szCs w:val="28"/>
        </w:rPr>
        <w:t>I</w:t>
      </w:r>
      <w:r w:rsidRPr="00461E76">
        <w:rPr>
          <w:sz w:val="28"/>
          <w:szCs w:val="28"/>
        </w:rPr>
        <w:t xml:space="preserve">n the past few years, the Institute has introduced the MS by Research programme: as of right now, the SPGC has no representation from this </w:t>
      </w:r>
      <w:r>
        <w:rPr>
          <w:sz w:val="28"/>
          <w:szCs w:val="28"/>
        </w:rPr>
        <w:t>programme, even though there are explicit requirements that ensure that there is definitely representation from the MTech (2 year) programmes and the PhD programmes. The Institute needs to revise the Senate Manual to ensure that these students are represented in the SPGC.</w:t>
      </w:r>
    </w:p>
    <w:p w:rsidR="00461E76" w:rsidRDefault="00461E76" w:rsidP="00461E76">
      <w:pPr>
        <w:rPr>
          <w:sz w:val="28"/>
          <w:szCs w:val="28"/>
        </w:rPr>
      </w:pPr>
      <w:r>
        <w:rPr>
          <w:sz w:val="28"/>
          <w:szCs w:val="28"/>
        </w:rPr>
        <w:t>In this context, it is proposed that the Senate Manual be amended and the SUGC and SPGC be expanded in size. It is proposed that:</w:t>
      </w:r>
    </w:p>
    <w:p w:rsidR="00461E76" w:rsidRDefault="00461E76" w:rsidP="00461E76">
      <w:pPr>
        <w:pStyle w:val="ListParagraph"/>
        <w:numPr>
          <w:ilvl w:val="0"/>
          <w:numId w:val="2"/>
        </w:numPr>
        <w:rPr>
          <w:sz w:val="28"/>
          <w:szCs w:val="28"/>
        </w:rPr>
      </w:pPr>
      <w:r>
        <w:rPr>
          <w:sz w:val="28"/>
          <w:szCs w:val="28"/>
        </w:rPr>
        <w:t>The number of students in both the SUGC and the SPGC be increased from 4 to 6.</w:t>
      </w:r>
    </w:p>
    <w:p w:rsidR="00461E76" w:rsidRDefault="00461E76" w:rsidP="00461E76">
      <w:pPr>
        <w:pStyle w:val="ListParagraph"/>
        <w:numPr>
          <w:ilvl w:val="0"/>
          <w:numId w:val="2"/>
        </w:numPr>
        <w:rPr>
          <w:sz w:val="28"/>
          <w:szCs w:val="28"/>
        </w:rPr>
      </w:pPr>
      <w:r>
        <w:rPr>
          <w:sz w:val="28"/>
          <w:szCs w:val="28"/>
        </w:rPr>
        <w:t xml:space="preserve">The current rule that no two students in the SUGC can be from the same batch be retained. As a consequence, one student </w:t>
      </w:r>
      <w:r>
        <w:rPr>
          <w:sz w:val="28"/>
          <w:szCs w:val="28"/>
        </w:rPr>
        <w:lastRenderedPageBreak/>
        <w:t>member of the SUGC will necessarily always be from the MSc (2 year) programme.</w:t>
      </w:r>
    </w:p>
    <w:p w:rsidR="00461E76" w:rsidRDefault="00461E76" w:rsidP="00461E76">
      <w:pPr>
        <w:pStyle w:val="ListParagraph"/>
        <w:numPr>
          <w:ilvl w:val="0"/>
          <w:numId w:val="2"/>
        </w:numPr>
        <w:rPr>
          <w:sz w:val="28"/>
          <w:szCs w:val="28"/>
        </w:rPr>
      </w:pPr>
      <w:r>
        <w:rPr>
          <w:sz w:val="28"/>
          <w:szCs w:val="28"/>
        </w:rPr>
        <w:t>The rule for SPGC may be changed so that:</w:t>
      </w:r>
    </w:p>
    <w:p w:rsidR="00461E76" w:rsidRDefault="00461E76" w:rsidP="00461E76">
      <w:pPr>
        <w:pStyle w:val="ListParagraph"/>
        <w:numPr>
          <w:ilvl w:val="1"/>
          <w:numId w:val="2"/>
        </w:numPr>
        <w:rPr>
          <w:sz w:val="28"/>
          <w:szCs w:val="28"/>
        </w:rPr>
      </w:pPr>
      <w:r>
        <w:rPr>
          <w:sz w:val="28"/>
          <w:szCs w:val="28"/>
        </w:rPr>
        <w:t>There is at least one member each from the following programmes:</w:t>
      </w:r>
    </w:p>
    <w:p w:rsidR="00461E76" w:rsidRDefault="00461E76" w:rsidP="00461E76">
      <w:pPr>
        <w:pStyle w:val="ListParagraph"/>
        <w:numPr>
          <w:ilvl w:val="2"/>
          <w:numId w:val="2"/>
        </w:numPr>
        <w:rPr>
          <w:sz w:val="28"/>
          <w:szCs w:val="28"/>
        </w:rPr>
      </w:pPr>
      <w:r>
        <w:rPr>
          <w:sz w:val="28"/>
          <w:szCs w:val="28"/>
        </w:rPr>
        <w:t>MTech (2 Year)/MDes</w:t>
      </w:r>
    </w:p>
    <w:p w:rsidR="00461E76" w:rsidRDefault="00461E76" w:rsidP="00461E76">
      <w:pPr>
        <w:pStyle w:val="ListParagraph"/>
        <w:numPr>
          <w:ilvl w:val="2"/>
          <w:numId w:val="2"/>
        </w:numPr>
        <w:rPr>
          <w:sz w:val="28"/>
          <w:szCs w:val="28"/>
        </w:rPr>
      </w:pPr>
      <w:r>
        <w:rPr>
          <w:sz w:val="28"/>
          <w:szCs w:val="28"/>
        </w:rPr>
        <w:t>MS by Research</w:t>
      </w:r>
    </w:p>
    <w:p w:rsidR="00461E76" w:rsidRDefault="00461E76" w:rsidP="00461E76">
      <w:pPr>
        <w:pStyle w:val="ListParagraph"/>
        <w:numPr>
          <w:ilvl w:val="2"/>
          <w:numId w:val="2"/>
        </w:numPr>
        <w:rPr>
          <w:sz w:val="28"/>
          <w:szCs w:val="28"/>
        </w:rPr>
      </w:pPr>
      <w:r>
        <w:rPr>
          <w:sz w:val="28"/>
          <w:szCs w:val="28"/>
        </w:rPr>
        <w:t>PhD</w:t>
      </w:r>
    </w:p>
    <w:p w:rsidR="00461E76" w:rsidRDefault="00461E76" w:rsidP="00461E76">
      <w:pPr>
        <w:pStyle w:val="ListParagraph"/>
        <w:numPr>
          <w:ilvl w:val="2"/>
          <w:numId w:val="2"/>
        </w:numPr>
        <w:rPr>
          <w:sz w:val="28"/>
          <w:szCs w:val="28"/>
        </w:rPr>
      </w:pPr>
      <w:r>
        <w:rPr>
          <w:sz w:val="28"/>
          <w:szCs w:val="28"/>
        </w:rPr>
        <w:t>MBA</w:t>
      </w:r>
    </w:p>
    <w:p w:rsidR="00461E76" w:rsidRDefault="00461E76" w:rsidP="00461E76">
      <w:pPr>
        <w:pStyle w:val="ListParagraph"/>
        <w:numPr>
          <w:ilvl w:val="1"/>
          <w:numId w:val="2"/>
        </w:numPr>
        <w:rPr>
          <w:sz w:val="28"/>
          <w:szCs w:val="28"/>
        </w:rPr>
      </w:pPr>
      <w:r>
        <w:rPr>
          <w:sz w:val="28"/>
          <w:szCs w:val="28"/>
        </w:rPr>
        <w:t>Further, no more than two members of the SPGC may be from the same category.</w:t>
      </w:r>
    </w:p>
    <w:p w:rsidR="00461E76" w:rsidRDefault="00461E76" w:rsidP="00461E76">
      <w:pPr>
        <w:rPr>
          <w:sz w:val="28"/>
          <w:szCs w:val="28"/>
        </w:rPr>
      </w:pPr>
    </w:p>
    <w:p w:rsidR="00461E76" w:rsidRPr="00461E76" w:rsidRDefault="00461E76" w:rsidP="00461E76">
      <w:pPr>
        <w:rPr>
          <w:sz w:val="28"/>
          <w:szCs w:val="28"/>
        </w:rPr>
      </w:pPr>
      <w:r>
        <w:rPr>
          <w:sz w:val="28"/>
          <w:szCs w:val="28"/>
        </w:rPr>
        <w:t xml:space="preserve">Notwithstanding the above, it may be noted that the IITK Excellence Awards given during the Convocation for Leadership, Cultural Excellence and Community Service are currently at most four in a given </w:t>
      </w:r>
      <w:r w:rsidR="00632024">
        <w:rPr>
          <w:sz w:val="28"/>
          <w:szCs w:val="28"/>
        </w:rPr>
        <w:t>year. These awards were instituted in the early to mid 2000s by the Institute, and as illustrated above, the Institute strength has increase from around 4000 to well over 6000. It is thus proposed that the maximum number of students who may be awarded in a year for all three be increase</w:t>
      </w:r>
      <w:bookmarkStart w:id="0" w:name="_GoBack"/>
      <w:bookmarkEnd w:id="0"/>
      <w:r w:rsidR="00632024">
        <w:rPr>
          <w:sz w:val="28"/>
          <w:szCs w:val="28"/>
        </w:rPr>
        <w:t>d from 4 to 6.</w:t>
      </w:r>
    </w:p>
    <w:sectPr w:rsidR="00461E76" w:rsidRPr="00461E76" w:rsidSect="008B040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61F9"/>
    <w:multiLevelType w:val="hybridMultilevel"/>
    <w:tmpl w:val="949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22FA5"/>
    <w:multiLevelType w:val="hybridMultilevel"/>
    <w:tmpl w:val="09A2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61E76"/>
    <w:rsid w:val="00461E76"/>
    <w:rsid w:val="00632024"/>
    <w:rsid w:val="007301C4"/>
    <w:rsid w:val="008B040A"/>
    <w:rsid w:val="00914570"/>
    <w:rsid w:val="00AB6963"/>
    <w:rsid w:val="00F83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7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W10</cp:lastModifiedBy>
  <cp:revision>2</cp:revision>
  <dcterms:created xsi:type="dcterms:W3CDTF">2016-07-20T15:53:00Z</dcterms:created>
  <dcterms:modified xsi:type="dcterms:W3CDTF">2016-08-27T13:53:00Z</dcterms:modified>
</cp:coreProperties>
</file>