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00000" w:rsidRPr="00000000" w:rsidP="00000000" w14:paraId="00000001">
      <w:pPr>
        <w:pageBreakBefore w:val="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w:t>
      </w:r>
    </w:p>
    <w:p w:rsidR="00000000" w:rsidRPr="00000000" w:rsidP="00000000" w14:paraId="00000002">
      <w:pPr>
        <w:pageBreakBefore w:val="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End Term Report</w:t>
      </w:r>
    </w:p>
    <w:p w:rsidR="00000000" w:rsidRPr="00000000" w:rsidP="00000000" w14:paraId="00000003">
      <w:pPr>
        <w:pageBreakBefore w:val="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w:t>
      </w:r>
    </w:p>
    <w:p w:rsidR="00000000" w:rsidRPr="00000000" w:rsidP="00000000" w14:paraId="00000004">
      <w:pPr>
        <w:pageBreakBefore w:val="0"/>
        <w:rPr>
          <w:rFonts w:ascii="Times New Roman" w:eastAsia="Times New Roman" w:hAnsi="Times New Roman" w:cs="Times New Roman"/>
          <w:sz w:val="28"/>
          <w:szCs w:val="28"/>
          <w:highlight w:val="white"/>
        </w:rPr>
      </w:pPr>
    </w:p>
    <w:p w:rsidR="00000000" w:rsidRPr="00000000" w:rsidP="00000000" w14:paraId="00000005">
      <w:pPr>
        <w:pageBreakBefore w:val="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The Council of Students' for Hostel Affairs (CoSHA) had seen several developments this year, both in terms of its legislation and the executive requirements as demanded by the Students' Senate and various halls.</w:t>
      </w:r>
    </w:p>
    <w:p w:rsidR="00000000" w:rsidRPr="00000000" w:rsidP="00000000" w14:paraId="00000006">
      <w:pPr>
        <w:pageBreakBefore w:val="0"/>
        <w:rPr>
          <w:rFonts w:ascii="Times New Roman" w:eastAsia="Times New Roman" w:hAnsi="Times New Roman" w:cs="Times New Roman"/>
          <w:sz w:val="28"/>
          <w:szCs w:val="28"/>
          <w:highlight w:val="white"/>
        </w:rPr>
      </w:pPr>
    </w:p>
    <w:p w:rsidR="00000000" w:rsidRPr="00000000" w:rsidP="00000000" w14:paraId="00000007">
      <w:pPr>
        <w:pageBreakBefore w:val="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The year 2021-22 has been unprecedented for everyone and the Students' Gymkhana is no Exception but now we are moving towards normalcy. The tenure started enclosure of the campus and required various special involvements on issues that were not part of the usual work domain due to the pandemic.</w:t>
      </w:r>
    </w:p>
    <w:p w:rsidR="00000000" w:rsidRPr="00000000" w:rsidP="00000000" w14:paraId="00000008">
      <w:pPr>
        <w:pageBreakBefore w:val="0"/>
        <w:rPr>
          <w:rFonts w:ascii="Times New Roman" w:eastAsia="Times New Roman" w:hAnsi="Times New Roman" w:cs="Times New Roman"/>
          <w:sz w:val="28"/>
          <w:szCs w:val="28"/>
          <w:highlight w:val="white"/>
        </w:rPr>
      </w:pPr>
    </w:p>
    <w:p w:rsidR="00000000" w:rsidRPr="00000000" w:rsidP="00000000" w14:paraId="00000009">
      <w:pPr>
        <w:pageBreakBefore w:val="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w:t>
      </w:r>
    </w:p>
    <w:p w:rsidR="00000000" w:rsidRPr="00000000" w:rsidP="00000000" w14:paraId="0000000A">
      <w:pPr>
        <w:pageBreakBefore w:val="0"/>
        <w:rPr>
          <w:rFonts w:ascii="Times New Roman" w:eastAsia="Times New Roman" w:hAnsi="Times New Roman" w:cs="Times New Roman"/>
          <w:b/>
          <w:sz w:val="28"/>
          <w:szCs w:val="28"/>
          <w:highlight w:val="white"/>
        </w:rPr>
      </w:pPr>
      <w:r w:rsidRPr="00000000">
        <w:rPr>
          <w:rFonts w:ascii="Times New Roman" w:eastAsia="Times New Roman" w:hAnsi="Times New Roman" w:cs="Times New Roman"/>
          <w:sz w:val="28"/>
          <w:szCs w:val="28"/>
          <w:highlight w:val="white"/>
          <w:rtl w:val="0"/>
        </w:rPr>
        <w:t xml:space="preserve">                                              </w:t>
      </w:r>
      <w:r w:rsidRPr="00000000">
        <w:rPr>
          <w:rFonts w:ascii="Times New Roman" w:eastAsia="Times New Roman" w:hAnsi="Times New Roman" w:cs="Times New Roman"/>
          <w:b/>
          <w:sz w:val="28"/>
          <w:szCs w:val="28"/>
          <w:highlight w:val="white"/>
          <w:rtl w:val="0"/>
        </w:rPr>
        <w:t xml:space="preserve">Key Developments &amp; Initiatives </w:t>
      </w:r>
    </w:p>
    <w:p w:rsidR="00000000" w:rsidRPr="00000000" w:rsidP="00000000" w14:paraId="0000000B">
      <w:pPr>
        <w:pageBreakBefore w:val="0"/>
        <w:rPr>
          <w:rFonts w:ascii="Times New Roman" w:eastAsia="Times New Roman" w:hAnsi="Times New Roman" w:cs="Times New Roman"/>
          <w:b/>
          <w:sz w:val="28"/>
          <w:szCs w:val="28"/>
          <w:highlight w:val="white"/>
        </w:rPr>
      </w:pPr>
    </w:p>
    <w:p w:rsidR="00000000" w:rsidRPr="00000000" w:rsidP="00000000" w14:paraId="0000000C">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Before the second wave, CoSHA ensured the start of the process of canteen reopening in PG Halls (7, GH-1,9,10,11). Due to the 2nd wave, students were sent home, and canteens were shut down again. </w:t>
      </w:r>
    </w:p>
    <w:p w:rsidR="00000000" w:rsidRPr="00000000" w:rsidP="00000000" w14:paraId="0000000D">
      <w:pPr>
        <w:pageBreakBefore w:val="0"/>
        <w:ind w:left="720" w:firstLine="0"/>
        <w:rPr>
          <w:rFonts w:ascii="Times New Roman" w:eastAsia="Times New Roman" w:hAnsi="Times New Roman" w:cs="Times New Roman"/>
          <w:sz w:val="28"/>
          <w:szCs w:val="28"/>
          <w:highlight w:val="white"/>
        </w:rPr>
      </w:pPr>
    </w:p>
    <w:p w:rsidR="00000000" w:rsidRPr="00000000" w:rsidP="00000000" w14:paraId="0000000E">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Chairperson, CoSHA and Convener, CoSHA was part of the campus reopening subcommittee of students' Senate, and various Hostel related logistics were discussed and a detailed Hall guidelines &amp; Central Students' task force (CSTF) idea was presented in the subcommittee and then later in the 1st special meeting of CoSHA.</w:t>
      </w:r>
    </w:p>
    <w:p w:rsidR="00000000" w:rsidRPr="00000000" w:rsidP="00000000" w14:paraId="0000000F">
      <w:pPr>
        <w:pageBreakBefore w:val="0"/>
        <w:ind w:left="0" w:firstLine="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w:t>
      </w:r>
    </w:p>
    <w:p w:rsidR="00000000" w:rsidRPr="00000000" w:rsidP="00000000" w14:paraId="00000010">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The detailed guidelines were then discussed in the Council of wardens (CoW) meeting, and after agreement from wardens, ADHA and DoSA, the guidelines were sent to the halls. Members of CoW also accepted the idea of the Hall task force (HTF). </w:t>
      </w:r>
    </w:p>
    <w:p w:rsidR="00000000" w:rsidRPr="00000000" w:rsidP="00000000" w14:paraId="00000011">
      <w:pPr>
        <w:pageBreakBefore w:val="0"/>
        <w:ind w:left="720" w:firstLine="0"/>
        <w:rPr>
          <w:rFonts w:ascii="Times New Roman" w:eastAsia="Times New Roman" w:hAnsi="Times New Roman" w:cs="Times New Roman"/>
          <w:sz w:val="28"/>
          <w:szCs w:val="28"/>
          <w:highlight w:val="white"/>
        </w:rPr>
      </w:pPr>
    </w:p>
    <w:p w:rsidR="00000000" w:rsidRPr="00000000" w:rsidP="00000000" w14:paraId="00000012">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Calling back of PG students was started in batches from May followed by Resource-constrained students and UG students. Recently UG Y21 students are also on campus which marks the calling back of all the enrolled students of IITK. </w:t>
      </w:r>
    </w:p>
    <w:p w:rsidR="00000000" w:rsidRPr="00000000" w:rsidP="00000000" w14:paraId="00000013">
      <w:pPr>
        <w:pageBreakBefore w:val="0"/>
        <w:ind w:left="720" w:firstLine="0"/>
        <w:rPr>
          <w:rFonts w:ascii="Times New Roman" w:eastAsia="Times New Roman" w:hAnsi="Times New Roman" w:cs="Times New Roman"/>
          <w:sz w:val="28"/>
          <w:szCs w:val="28"/>
          <w:highlight w:val="white"/>
        </w:rPr>
      </w:pPr>
    </w:p>
    <w:p w:rsidR="00000000" w:rsidRPr="00000000" w:rsidP="00000000" w14:paraId="00000014">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CoSHA was in direct contact with Mess Workers, Hall Management offices &amp; Wardens of various halls to ensure that the people who required work the most would be prioritized.</w:t>
      </w:r>
    </w:p>
    <w:p w:rsidR="00000000" w:rsidRPr="00000000" w:rsidP="00000000" w14:paraId="00000015">
      <w:pPr>
        <w:pageBreakBefore w:val="0"/>
        <w:ind w:left="720" w:firstLine="0"/>
        <w:rPr>
          <w:rFonts w:ascii="Times New Roman" w:eastAsia="Times New Roman" w:hAnsi="Times New Roman" w:cs="Times New Roman"/>
          <w:sz w:val="28"/>
          <w:szCs w:val="28"/>
          <w:highlight w:val="white"/>
        </w:rPr>
      </w:pPr>
    </w:p>
    <w:p w:rsidR="00000000" w:rsidRPr="00000000" w:rsidP="00000000" w14:paraId="00000016">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The tenure started with leaf composting in Halls with the help of Agnes waste management because halls were closed. After may Waste management committee decided to switch to drum composting. </w:t>
      </w:r>
    </w:p>
    <w:p w:rsidR="00000000" w:rsidRPr="00000000" w:rsidP="00000000" w14:paraId="00000017">
      <w:pPr>
        <w:pageBreakBefore w:val="0"/>
        <w:ind w:left="720" w:firstLine="0"/>
        <w:rPr>
          <w:rFonts w:ascii="Times New Roman" w:eastAsia="Times New Roman" w:hAnsi="Times New Roman" w:cs="Times New Roman"/>
          <w:sz w:val="28"/>
          <w:szCs w:val="28"/>
          <w:highlight w:val="white"/>
        </w:rPr>
      </w:pPr>
    </w:p>
    <w:p w:rsidR="00000000" w:rsidRPr="00000000" w:rsidP="00000000" w14:paraId="00000018">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The workers rotation system started in last tenure was continued with the batch duration increasing from 7 to 14 to 21 (in general) days and then with the calling back of UG Y21 the workers are getting full work. </w:t>
      </w:r>
    </w:p>
    <w:p w:rsidR="00000000" w:rsidRPr="00000000" w:rsidP="00000000" w14:paraId="00000019">
      <w:pPr>
        <w:pageBreakBefore w:val="0"/>
        <w:ind w:left="720" w:firstLine="0"/>
        <w:rPr>
          <w:rFonts w:ascii="Times New Roman" w:eastAsia="Times New Roman" w:hAnsi="Times New Roman" w:cs="Times New Roman"/>
          <w:sz w:val="28"/>
          <w:szCs w:val="28"/>
          <w:highlight w:val="white"/>
        </w:rPr>
      </w:pPr>
    </w:p>
    <w:p w:rsidR="00000000" w:rsidRPr="00000000" w:rsidP="00000000" w14:paraId="0000001A">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During the calling back of various UG and PG batches, the entire hall affairs processes were handled efficiently in collaboration with the DOSA office.</w:t>
      </w:r>
    </w:p>
    <w:p w:rsidR="00000000" w:rsidRPr="00000000" w:rsidP="00000000" w14:paraId="0000001B">
      <w:pPr>
        <w:pageBreakBefore w:val="0"/>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During September, The proposal for opening up hall canteens inside all working halls in order to help students get access to reasonably priced food at odd times &amp; to reduce crowding at other food joints was sent to the administration. The proposal was discussed</w:t>
      </w:r>
      <w:r w:rsidRPr="00000000">
        <w:rPr>
          <w:rFonts w:ascii="Times New Roman" w:eastAsia="Times New Roman" w:hAnsi="Times New Roman" w:cs="Times New Roman"/>
          <w:color w:val="FF0000"/>
          <w:sz w:val="28"/>
          <w:szCs w:val="28"/>
          <w:highlight w:val="white"/>
          <w:rtl w:val="0"/>
        </w:rPr>
        <w:t xml:space="preserve"> with the wardens </w:t>
      </w:r>
      <w:r w:rsidRPr="00000000">
        <w:rPr>
          <w:rFonts w:ascii="Times New Roman" w:eastAsia="Times New Roman" w:hAnsi="Times New Roman" w:cs="Times New Roman"/>
          <w:sz w:val="28"/>
          <w:szCs w:val="28"/>
          <w:highlight w:val="white"/>
          <w:rtl w:val="0"/>
        </w:rPr>
        <w:t xml:space="preserve">and was agreed upon by all the members with initial timing being 2:00 to 10:30 and no dining. These restrictions were released later as the situation was under control. </w:t>
      </w:r>
    </w:p>
    <w:p w:rsidR="00000000" w:rsidRPr="00000000" w:rsidP="00000000" w14:paraId="0000001C">
      <w:pPr>
        <w:pageBreakBefore w:val="0"/>
        <w:ind w:left="720" w:firstLine="0"/>
        <w:rPr>
          <w:rFonts w:ascii="Times New Roman" w:eastAsia="Times New Roman" w:hAnsi="Times New Roman" w:cs="Times New Roman"/>
          <w:sz w:val="28"/>
          <w:szCs w:val="28"/>
          <w:highlight w:val="white"/>
        </w:rPr>
      </w:pPr>
    </w:p>
    <w:p w:rsidR="00000000" w:rsidRPr="00000000" w:rsidP="00000000" w14:paraId="0000001D">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During September, The proposal for opening up Shops in halls was sent to the administration, and after acceptance, it was forwarded to CEMMC office and halls. </w:t>
      </w:r>
    </w:p>
    <w:p w:rsidR="00000000" w:rsidRPr="00000000" w:rsidP="00000000" w14:paraId="0000001E">
      <w:pPr>
        <w:ind w:left="0" w:firstLine="0"/>
        <w:rPr>
          <w:rFonts w:ascii="Times New Roman" w:eastAsia="Times New Roman" w:hAnsi="Times New Roman" w:cs="Times New Roman"/>
          <w:sz w:val="28"/>
          <w:szCs w:val="28"/>
          <w:highlight w:val="white"/>
        </w:rPr>
      </w:pPr>
    </w:p>
    <w:p w:rsidR="00000000" w:rsidRPr="00000000" w:rsidP="00000000" w14:paraId="0000001F">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Elections were conducted in SBRA &amp; Hall 11 with the help of Election commission in 2021, Currently Hall 3, Hall 6, GH-1, Hall 8 are undergoing elections. Hall 2 is going with the concept of Hall representatives without undergoing elections. Hall 4, Hall 5, Hall 7, Hall 9 have the new HECs.</w:t>
      </w:r>
    </w:p>
    <w:p w:rsidR="00000000" w:rsidRPr="00000000" w:rsidP="00000000" w14:paraId="00000020">
      <w:pPr>
        <w:ind w:left="720" w:firstLine="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w:t>
      </w:r>
    </w:p>
    <w:p w:rsidR="00000000" w:rsidRPr="00000000" w:rsidP="00000000" w14:paraId="00000021">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Hall 4 is the new PG-girls Hostel and necessary construction is currently ongoing, Requests were sent to administration to complete the construction at the earliest. </w:t>
      </w:r>
    </w:p>
    <w:p w:rsidR="00000000" w:rsidRPr="00000000" w:rsidP="00000000" w14:paraId="00000022">
      <w:pPr>
        <w:ind w:left="0" w:firstLine="0"/>
        <w:rPr>
          <w:rFonts w:ascii="Times New Roman" w:eastAsia="Times New Roman" w:hAnsi="Times New Roman" w:cs="Times New Roman"/>
          <w:sz w:val="28"/>
          <w:szCs w:val="28"/>
          <w:highlight w:val="white"/>
        </w:rPr>
      </w:pPr>
    </w:p>
    <w:p w:rsidR="00000000" w:rsidRPr="00000000" w:rsidP="00000000" w14:paraId="00000023">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Hall Allocation Policy 2021-22 was presented in 2 parts in the CoSHA, after relevant changes suggested by GBM and CoSHA members it was presented in the Senate. After getting final approval from the student body, it was presented in the Hall allocation advisory committee (HAAC) and part-1 was implemented from December 28. </w:t>
      </w:r>
    </w:p>
    <w:p w:rsidR="00000000" w:rsidRPr="00000000" w:rsidP="00000000" w14:paraId="00000024">
      <w:pPr>
        <w:ind w:left="0" w:firstLine="0"/>
        <w:rPr>
          <w:rFonts w:ascii="Times New Roman" w:eastAsia="Times New Roman" w:hAnsi="Times New Roman" w:cs="Times New Roman"/>
          <w:sz w:val="28"/>
          <w:szCs w:val="28"/>
          <w:highlight w:val="white"/>
        </w:rPr>
      </w:pPr>
    </w:p>
    <w:p w:rsidR="00000000" w:rsidRPr="00000000" w:rsidP="00000000" w14:paraId="00000025">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Major problems were faced during January'22 when students were called back to campus as there was a shortage of cots and students were coming 24*7. With the help of the DoSA office Hall managers were guided to open the Hall offices 24*7 and cots were arranged from PG hostels and Hall 13 mainly.</w:t>
      </w:r>
    </w:p>
    <w:p w:rsidR="00000000" w:rsidRPr="00000000" w:rsidP="00000000" w14:paraId="00000026">
      <w:pPr>
        <w:ind w:left="0" w:firstLine="0"/>
        <w:rPr>
          <w:rFonts w:ascii="Times New Roman" w:eastAsia="Times New Roman" w:hAnsi="Times New Roman" w:cs="Times New Roman"/>
          <w:sz w:val="28"/>
          <w:szCs w:val="28"/>
          <w:highlight w:val="white"/>
        </w:rPr>
      </w:pPr>
    </w:p>
    <w:p w:rsidR="00000000" w:rsidRPr="00000000" w:rsidP="00000000" w14:paraId="00000027">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The proposal of central mess empanelment was partially accepted in CoSHA. The halls agreed upon providing a list of vendors (Dairy, Chicken, Vegetables, another grocery) to other hostels as well.</w:t>
      </w:r>
    </w:p>
    <w:p w:rsidR="00000000" w:rsidRPr="00000000" w:rsidP="00000000" w14:paraId="00000028">
      <w:pPr>
        <w:ind w:left="720" w:firstLine="0"/>
        <w:rPr>
          <w:rFonts w:ascii="Times New Roman" w:eastAsia="Times New Roman" w:hAnsi="Times New Roman" w:cs="Times New Roman"/>
          <w:sz w:val="28"/>
          <w:szCs w:val="28"/>
          <w:highlight w:val="white"/>
        </w:rPr>
      </w:pPr>
    </w:p>
    <w:p w:rsidR="00000000" w:rsidRPr="00000000" w:rsidP="00000000" w14:paraId="00000029">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The update was taken on Centralized RO installation according to which following table is prepared-</w:t>
      </w:r>
    </w:p>
    <w:p w:rsidR="00000000" w:rsidRPr="00000000" w:rsidP="00000000" w14:paraId="0000002A">
      <w:pPr>
        <w:ind w:left="720" w:firstLine="0"/>
        <w:rPr>
          <w:rFonts w:ascii="Times New Roman" w:eastAsia="Times New Roman" w:hAnsi="Times New Roman" w:cs="Times New Roman"/>
          <w:sz w:val="28"/>
          <w:szCs w:val="28"/>
          <w:highlight w:val="white"/>
        </w:rPr>
      </w:pPr>
    </w:p>
    <w:p w:rsidR="00000000" w:rsidRPr="00000000" w:rsidP="00000000" w14:paraId="0000002B">
      <w:pPr>
        <w:ind w:left="720" w:firstLine="0"/>
        <w:rPr>
          <w:rFonts w:ascii="Times New Roman" w:eastAsia="Times New Roman" w:hAnsi="Times New Roman" w:cs="Times New Roman"/>
          <w:sz w:val="28"/>
          <w:szCs w:val="28"/>
          <w:highlight w:val="white"/>
        </w:rPr>
      </w:pPr>
    </w:p>
    <w:tbl>
      <w:tblPr>
        <w:tblStyle w:val="Table1"/>
        <w:tblW w:w="8640" w:type="dxa"/>
        <w:jc w:val="lef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tblPrEx>
          <w:tblW w:w="8640" w:type="dxa"/>
          <w:jc w:val="lef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2C">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Hall</w:t>
            </w:r>
          </w:p>
        </w:tc>
        <w:tc>
          <w:tcPr>
            <w:shd w:val="clear" w:color="auto" w:fill="auto"/>
            <w:tcMar>
              <w:top w:w="100" w:type="dxa"/>
              <w:left w:w="100" w:type="dxa"/>
              <w:bottom w:w="100" w:type="dxa"/>
              <w:right w:w="100" w:type="dxa"/>
            </w:tcMar>
            <w:vAlign w:val="top"/>
          </w:tcPr>
          <w:p w:rsidR="00000000" w:rsidRPr="00000000" w:rsidP="00000000" w14:paraId="0000002D">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Remarks </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2E">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1</w:t>
            </w:r>
          </w:p>
        </w:tc>
        <w:tc>
          <w:tcPr>
            <w:shd w:val="clear" w:color="auto" w:fill="auto"/>
            <w:tcMar>
              <w:top w:w="100" w:type="dxa"/>
              <w:left w:w="100" w:type="dxa"/>
              <w:bottom w:w="100" w:type="dxa"/>
              <w:right w:w="100" w:type="dxa"/>
            </w:tcMar>
            <w:vAlign w:val="top"/>
          </w:tcPr>
          <w:p w:rsidR="00000000" w:rsidRPr="00000000" w:rsidP="00000000" w14:paraId="0000002F">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RO in 4 blocks and in mess, remaining 3 blocks will get it soon</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0">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2</w:t>
            </w:r>
          </w:p>
        </w:tc>
        <w:tc>
          <w:tcPr>
            <w:shd w:val="clear" w:color="auto" w:fill="auto"/>
            <w:tcMar>
              <w:top w:w="100" w:type="dxa"/>
              <w:left w:w="100" w:type="dxa"/>
              <w:bottom w:w="100" w:type="dxa"/>
              <w:right w:w="100" w:type="dxa"/>
            </w:tcMar>
            <w:vAlign w:val="top"/>
          </w:tcPr>
          <w:p w:rsidR="00000000" w:rsidRPr="00000000" w:rsidP="00000000" w14:paraId="00000031">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In-Process</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2">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3</w:t>
            </w:r>
          </w:p>
        </w:tc>
        <w:tc>
          <w:tcPr>
            <w:shd w:val="clear" w:color="auto" w:fill="auto"/>
            <w:tcMar>
              <w:top w:w="100" w:type="dxa"/>
              <w:left w:w="100" w:type="dxa"/>
              <w:bottom w:w="100" w:type="dxa"/>
              <w:right w:w="100" w:type="dxa"/>
            </w:tcMar>
            <w:vAlign w:val="top"/>
          </w:tcPr>
          <w:p w:rsidR="00000000" w:rsidRPr="00000000" w:rsidP="00000000" w14:paraId="00000033">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In-Process</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4">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4</w:t>
            </w:r>
          </w:p>
        </w:tc>
        <w:tc>
          <w:tcPr>
            <w:shd w:val="clear" w:color="auto" w:fill="auto"/>
            <w:tcMar>
              <w:top w:w="100" w:type="dxa"/>
              <w:left w:w="100" w:type="dxa"/>
              <w:bottom w:w="100" w:type="dxa"/>
              <w:right w:w="100" w:type="dxa"/>
            </w:tcMar>
            <w:vAlign w:val="top"/>
          </w:tcPr>
          <w:p w:rsidR="00000000" w:rsidRPr="00000000" w:rsidP="00000000" w14:paraId="00000035">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Centralized RO is sufficient according to current strength </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6">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5</w:t>
            </w:r>
          </w:p>
        </w:tc>
        <w:tc>
          <w:tcPr>
            <w:shd w:val="clear" w:color="auto" w:fill="auto"/>
            <w:tcMar>
              <w:top w:w="100" w:type="dxa"/>
              <w:left w:w="100" w:type="dxa"/>
              <w:bottom w:w="100" w:type="dxa"/>
              <w:right w:w="100" w:type="dxa"/>
            </w:tcMar>
            <w:vAlign w:val="top"/>
          </w:tcPr>
          <w:p w:rsidR="00000000" w:rsidRPr="00000000" w:rsidP="00000000" w14:paraId="00000037">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Centralized RO in few blocks and In-Process to cover other blocks soon</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8">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6</w:t>
            </w:r>
          </w:p>
        </w:tc>
        <w:tc>
          <w:tcPr>
            <w:shd w:val="clear" w:color="auto" w:fill="auto"/>
            <w:tcMar>
              <w:top w:w="100" w:type="dxa"/>
              <w:left w:w="100" w:type="dxa"/>
              <w:bottom w:w="100" w:type="dxa"/>
              <w:right w:w="100" w:type="dxa"/>
            </w:tcMar>
            <w:vAlign w:val="top"/>
          </w:tcPr>
          <w:p w:rsidR="00000000" w:rsidRPr="00000000" w:rsidP="00000000" w14:paraId="00000039">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Centralized RO in C-D Block and In-process to get RO in A-B Block as well</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A">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7</w:t>
            </w:r>
          </w:p>
        </w:tc>
        <w:tc>
          <w:tcPr>
            <w:shd w:val="clear" w:color="auto" w:fill="auto"/>
            <w:tcMar>
              <w:top w:w="100" w:type="dxa"/>
              <w:left w:w="100" w:type="dxa"/>
              <w:bottom w:w="100" w:type="dxa"/>
              <w:right w:w="100" w:type="dxa"/>
            </w:tcMar>
            <w:vAlign w:val="top"/>
          </w:tcPr>
          <w:p w:rsidR="00000000" w:rsidRPr="00000000" w:rsidP="00000000" w14:paraId="0000003B">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In-Process</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C">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8</w:t>
            </w:r>
          </w:p>
        </w:tc>
        <w:tc>
          <w:tcPr>
            <w:shd w:val="clear" w:color="auto" w:fill="auto"/>
            <w:tcMar>
              <w:top w:w="100" w:type="dxa"/>
              <w:left w:w="100" w:type="dxa"/>
              <w:bottom w:w="100" w:type="dxa"/>
              <w:right w:w="100" w:type="dxa"/>
            </w:tcMar>
            <w:vAlign w:val="top"/>
          </w:tcPr>
          <w:p w:rsidR="00000000" w:rsidRPr="00000000" w:rsidP="00000000" w14:paraId="0000003D">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1 Centralized RO is installed which is sufficient according to current HEC</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E">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10 </w:t>
            </w:r>
          </w:p>
        </w:tc>
        <w:tc>
          <w:tcPr>
            <w:shd w:val="clear" w:color="auto" w:fill="auto"/>
            <w:tcMar>
              <w:top w:w="100" w:type="dxa"/>
              <w:left w:w="100" w:type="dxa"/>
              <w:bottom w:w="100" w:type="dxa"/>
              <w:right w:w="100" w:type="dxa"/>
            </w:tcMar>
            <w:vAlign w:val="top"/>
          </w:tcPr>
          <w:p w:rsidR="00000000" w:rsidRPr="00000000" w:rsidP="00000000" w14:paraId="0000003F">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In-Process </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40">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11</w:t>
            </w:r>
          </w:p>
        </w:tc>
        <w:tc>
          <w:tcPr>
            <w:shd w:val="clear" w:color="auto" w:fill="auto"/>
            <w:tcMar>
              <w:top w:w="100" w:type="dxa"/>
              <w:left w:w="100" w:type="dxa"/>
              <w:bottom w:w="100" w:type="dxa"/>
              <w:right w:w="100" w:type="dxa"/>
            </w:tcMar>
            <w:vAlign w:val="top"/>
          </w:tcPr>
          <w:p w:rsidR="00000000" w:rsidRPr="00000000" w:rsidP="00000000" w14:paraId="00000041">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In-Process</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42">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12</w:t>
            </w:r>
          </w:p>
        </w:tc>
        <w:tc>
          <w:tcPr>
            <w:shd w:val="clear" w:color="auto" w:fill="auto"/>
            <w:tcMar>
              <w:top w:w="100" w:type="dxa"/>
              <w:left w:w="100" w:type="dxa"/>
              <w:bottom w:w="100" w:type="dxa"/>
              <w:right w:w="100" w:type="dxa"/>
            </w:tcMar>
            <w:vAlign w:val="top"/>
          </w:tcPr>
          <w:p w:rsidR="00000000" w:rsidRPr="00000000" w:rsidP="00000000" w14:paraId="00000043">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In-Process</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44">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13</w:t>
            </w:r>
          </w:p>
        </w:tc>
        <w:tc>
          <w:tcPr>
            <w:shd w:val="clear" w:color="auto" w:fill="auto"/>
            <w:tcMar>
              <w:top w:w="100" w:type="dxa"/>
              <w:left w:w="100" w:type="dxa"/>
              <w:bottom w:w="100" w:type="dxa"/>
              <w:right w:w="100" w:type="dxa"/>
            </w:tcMar>
            <w:vAlign w:val="top"/>
          </w:tcPr>
          <w:p w:rsidR="00000000" w:rsidRPr="00000000" w:rsidP="00000000" w14:paraId="00000045">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No HEC, but according to Hall manager it is their priority</w:t>
            </w:r>
          </w:p>
        </w:tc>
      </w:tr>
      <w:tr>
        <w:tblPrEx>
          <w:tblW w:w="8640" w:type="dxa"/>
          <w:jc w:val="left"/>
          <w:tblInd w:w="82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46">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GH-1</w:t>
            </w:r>
          </w:p>
        </w:tc>
        <w:tc>
          <w:tcPr>
            <w:shd w:val="clear" w:color="auto" w:fill="auto"/>
            <w:tcMar>
              <w:top w:w="100" w:type="dxa"/>
              <w:left w:w="100" w:type="dxa"/>
              <w:bottom w:w="100" w:type="dxa"/>
              <w:right w:w="100" w:type="dxa"/>
            </w:tcMar>
            <w:vAlign w:val="top"/>
          </w:tcPr>
          <w:p w:rsidR="00000000" w:rsidRPr="00000000" w:rsidP="00000000" w14:paraId="00000047">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4 blocks are covered with Centralized RO, 2 blocks will be covered soon. </w:t>
            </w:r>
          </w:p>
        </w:tc>
      </w:tr>
    </w:tbl>
    <w:p w:rsidR="00000000" w:rsidRPr="00000000" w:rsidP="00000000" w14:paraId="00000048">
      <w:pPr>
        <w:ind w:left="720" w:firstLine="0"/>
        <w:rPr>
          <w:rFonts w:ascii="Times New Roman" w:eastAsia="Times New Roman" w:hAnsi="Times New Roman" w:cs="Times New Roman"/>
          <w:sz w:val="28"/>
          <w:szCs w:val="28"/>
          <w:highlight w:val="white"/>
        </w:rPr>
      </w:pPr>
    </w:p>
    <w:p w:rsidR="00000000" w:rsidRPr="00000000" w:rsidP="00000000" w14:paraId="00000049">
      <w:pPr>
        <w:numPr>
          <w:ilvl w:val="0"/>
          <w:numId w:val="2"/>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Hall Allocation Policy </w:t>
      </w:r>
    </w:p>
    <w:p w:rsidR="00000000" w:rsidRPr="00000000" w:rsidP="00000000" w14:paraId="0000004A">
      <w:pPr>
        <w:widowControl w:val="0"/>
        <w:numPr>
          <w:ilvl w:val="0"/>
          <w:numId w:val="1"/>
        </w:numPr>
        <w:spacing w:after="0" w:afterAutospacing="0" w:line="276" w:lineRule="auto"/>
        <w:ind w:left="1440" w:hanging="360"/>
        <w:jc w:val="both"/>
        <w:rPr>
          <w:rFonts w:ascii="Times New Roman" w:eastAsia="Times New Roman" w:hAnsi="Times New Roman" w:cs="Times New Roman"/>
          <w:sz w:val="28"/>
          <w:szCs w:val="28"/>
        </w:rPr>
      </w:pPr>
      <w:r w:rsidRPr="00000000">
        <w:rPr>
          <w:rFonts w:ascii="Times New Roman" w:eastAsia="Times New Roman" w:hAnsi="Times New Roman" w:cs="Times New Roman"/>
          <w:sz w:val="28"/>
          <w:szCs w:val="28"/>
          <w:rtl w:val="0"/>
        </w:rPr>
        <w:t>All first year UG male students allotted Hall 13.</w:t>
      </w:r>
    </w:p>
    <w:p w:rsidR="00000000" w:rsidRPr="00000000" w:rsidP="00000000" w14:paraId="0000004B">
      <w:pPr>
        <w:widowControl w:val="0"/>
        <w:numPr>
          <w:ilvl w:val="0"/>
          <w:numId w:val="1"/>
        </w:numPr>
        <w:spacing w:after="0" w:afterAutospacing="0" w:line="276" w:lineRule="auto"/>
        <w:ind w:left="1440" w:hanging="360"/>
        <w:jc w:val="both"/>
        <w:rPr>
          <w:rFonts w:ascii="Times New Roman" w:eastAsia="Times New Roman" w:hAnsi="Times New Roman" w:cs="Times New Roman"/>
          <w:sz w:val="28"/>
          <w:szCs w:val="28"/>
        </w:rPr>
      </w:pPr>
      <w:r w:rsidRPr="00000000">
        <w:rPr>
          <w:rFonts w:ascii="Times New Roman" w:eastAsia="Times New Roman" w:hAnsi="Times New Roman" w:cs="Times New Roman"/>
          <w:sz w:val="28"/>
          <w:szCs w:val="28"/>
          <w:rtl w:val="0"/>
        </w:rPr>
        <w:t>The rise in UG female students was incorporated in hall allocation policy, Hall 4 is converted into PG- Girls Hostel</w:t>
      </w:r>
    </w:p>
    <w:p w:rsidR="00000000" w:rsidRPr="00000000" w:rsidP="00000000" w14:paraId="0000004C">
      <w:pPr>
        <w:widowControl w:val="0"/>
        <w:numPr>
          <w:ilvl w:val="0"/>
          <w:numId w:val="1"/>
        </w:numPr>
        <w:spacing w:after="0" w:afterAutospacing="0" w:line="276" w:lineRule="auto"/>
        <w:ind w:left="1440" w:hanging="360"/>
        <w:jc w:val="both"/>
        <w:rPr>
          <w:rFonts w:ascii="Times New Roman" w:eastAsia="Times New Roman" w:hAnsi="Times New Roman" w:cs="Times New Roman"/>
          <w:sz w:val="28"/>
          <w:szCs w:val="28"/>
        </w:rPr>
      </w:pPr>
      <w:r w:rsidRPr="00000000">
        <w:rPr>
          <w:rFonts w:ascii="Times New Roman" w:eastAsia="Times New Roman" w:hAnsi="Times New Roman" w:cs="Times New Roman"/>
          <w:sz w:val="28"/>
          <w:szCs w:val="28"/>
          <w:rtl w:val="0"/>
        </w:rPr>
        <w:t xml:space="preserve">M-Tech 1st year students are in crunch and it should be released in the summer with the graduation of M.Tech Y20. </w:t>
      </w:r>
    </w:p>
    <w:p w:rsidR="00000000" w:rsidRPr="00000000" w:rsidP="00000000" w14:paraId="0000004D">
      <w:pPr>
        <w:widowControl w:val="0"/>
        <w:numPr>
          <w:ilvl w:val="0"/>
          <w:numId w:val="1"/>
        </w:numPr>
        <w:spacing w:after="0" w:afterAutospacing="0" w:line="276" w:lineRule="auto"/>
        <w:ind w:left="1440" w:hanging="360"/>
        <w:jc w:val="both"/>
        <w:rPr>
          <w:rFonts w:ascii="Times New Roman" w:eastAsia="Times New Roman" w:hAnsi="Times New Roman" w:cs="Times New Roman"/>
          <w:sz w:val="28"/>
          <w:szCs w:val="28"/>
        </w:rPr>
      </w:pPr>
      <w:r w:rsidRPr="00000000">
        <w:rPr>
          <w:rFonts w:ascii="Times New Roman" w:eastAsia="Times New Roman" w:hAnsi="Times New Roman" w:cs="Times New Roman"/>
          <w:sz w:val="28"/>
          <w:szCs w:val="28"/>
          <w:rtl w:val="0"/>
        </w:rPr>
        <w:t>UG degree extended students were accommodated in Hall 2, 3 and 12.</w:t>
      </w:r>
    </w:p>
    <w:p w:rsidR="00000000" w:rsidRPr="00000000" w:rsidP="00000000" w14:paraId="0000004E">
      <w:pPr>
        <w:widowControl w:val="0"/>
        <w:numPr>
          <w:ilvl w:val="0"/>
          <w:numId w:val="1"/>
        </w:numPr>
        <w:spacing w:after="0" w:afterAutospacing="0" w:line="276" w:lineRule="auto"/>
        <w:ind w:left="1440" w:hanging="360"/>
        <w:jc w:val="both"/>
        <w:rPr>
          <w:rFonts w:ascii="Times New Roman" w:eastAsia="Times New Roman" w:hAnsi="Times New Roman" w:cs="Times New Roman"/>
          <w:sz w:val="28"/>
          <w:szCs w:val="28"/>
        </w:rPr>
      </w:pPr>
      <w:r w:rsidRPr="00000000">
        <w:rPr>
          <w:rFonts w:ascii="Times New Roman" w:eastAsia="Times New Roman" w:hAnsi="Times New Roman" w:cs="Times New Roman"/>
          <w:sz w:val="28"/>
          <w:szCs w:val="28"/>
          <w:rtl w:val="0"/>
        </w:rPr>
        <w:t>UG Y17 batch was accommodated in Hall 9 and Hall 12.</w:t>
      </w:r>
    </w:p>
    <w:p w:rsidR="00000000" w:rsidRPr="00000000" w:rsidP="00000000" w14:paraId="0000004F">
      <w:pPr>
        <w:widowControl w:val="0"/>
        <w:numPr>
          <w:ilvl w:val="0"/>
          <w:numId w:val="1"/>
        </w:numPr>
        <w:spacing w:after="120" w:line="276" w:lineRule="auto"/>
        <w:ind w:left="1440" w:hanging="360"/>
        <w:jc w:val="both"/>
        <w:rPr>
          <w:rFonts w:ascii="Times New Roman" w:eastAsia="Times New Roman" w:hAnsi="Times New Roman" w:cs="Times New Roman"/>
          <w:sz w:val="28"/>
          <w:szCs w:val="28"/>
        </w:rPr>
      </w:pPr>
      <w:r w:rsidRPr="00000000">
        <w:rPr>
          <w:rFonts w:ascii="Times New Roman" w:eastAsia="Times New Roman" w:hAnsi="Times New Roman" w:cs="Times New Roman"/>
          <w:sz w:val="28"/>
          <w:szCs w:val="28"/>
          <w:rtl w:val="0"/>
        </w:rPr>
        <w:t>Allocation for PG students of December batch was done in Hall 2, 3, 4,5,6, 7, 8,9, 10, 11,12 and GH-1.</w:t>
      </w:r>
    </w:p>
    <w:p w:rsidR="00000000" w:rsidRPr="00000000" w:rsidP="00000000" w14:paraId="00000050">
      <w:pPr>
        <w:ind w:left="720" w:firstLine="0"/>
        <w:rPr>
          <w:rFonts w:ascii="Times New Roman" w:eastAsia="Times New Roman" w:hAnsi="Times New Roman" w:cs="Times New Roman"/>
          <w:sz w:val="28"/>
          <w:szCs w:val="28"/>
          <w:highlight w:val="white"/>
        </w:rPr>
      </w:pPr>
    </w:p>
    <w:p w:rsidR="00000000" w:rsidRPr="00000000" w:rsidP="00000000" w14:paraId="00000051">
      <w:pPr>
        <w:pageBreakBefore w:val="0"/>
        <w:ind w:left="0" w:firstLine="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w:t>
      </w:r>
    </w:p>
    <w:p w:rsidR="00000000" w:rsidRPr="00000000" w:rsidP="00000000" w14:paraId="00000052">
      <w:pPr>
        <w:pageBreakBefore w:val="0"/>
        <w:ind w:left="0" w:firstLine="0"/>
        <w:rPr>
          <w:rFonts w:ascii="Times New Roman" w:eastAsia="Times New Roman" w:hAnsi="Times New Roman" w:cs="Times New Roman"/>
          <w:sz w:val="28"/>
          <w:szCs w:val="28"/>
          <w:highlight w:val="white"/>
        </w:rPr>
      </w:pPr>
    </w:p>
    <w:p w:rsidR="00000000" w:rsidRPr="00000000" w:rsidP="00000000" w14:paraId="00000053">
      <w:pPr>
        <w:pageBreakBefore w:val="0"/>
        <w:ind w:left="0" w:firstLine="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A total of 3 special </w:t>
      </w:r>
      <w:r w:rsidRPr="00000000">
        <w:rPr>
          <w:rFonts w:ascii="Times New Roman" w:eastAsia="Times New Roman" w:hAnsi="Times New Roman" w:cs="Times New Roman"/>
          <w:sz w:val="28"/>
          <w:szCs w:val="28"/>
          <w:highlight w:val="white"/>
          <w:rtl w:val="0"/>
        </w:rPr>
        <w:t>CoSHA</w:t>
      </w:r>
      <w:r w:rsidRPr="00000000">
        <w:rPr>
          <w:rFonts w:ascii="Times New Roman" w:eastAsia="Times New Roman" w:hAnsi="Times New Roman" w:cs="Times New Roman"/>
          <w:sz w:val="28"/>
          <w:szCs w:val="28"/>
          <w:highlight w:val="white"/>
          <w:rtl w:val="0"/>
        </w:rPr>
        <w:t xml:space="preserve"> meetings were conducted to discuss various agenda items and executive work was carried out on the direction of President, Students’ Gymkhana. </w:t>
      </w:r>
    </w:p>
    <w:p w:rsidR="00000000" w:rsidRPr="00000000" w:rsidP="00000000" w14:paraId="00000054">
      <w:pPr>
        <w:pageBreakBefore w:val="0"/>
        <w:ind w:left="0" w:firstLine="0"/>
        <w:rPr>
          <w:rFonts w:ascii="Times New Roman" w:eastAsia="Times New Roman" w:hAnsi="Times New Roman" w:cs="Times New Roman"/>
          <w:sz w:val="28"/>
          <w:szCs w:val="28"/>
          <w:highlight w:val="white"/>
        </w:rPr>
      </w:pPr>
    </w:p>
    <w:p w:rsidR="00000000" w:rsidRPr="00000000" w:rsidP="00000000" w14:paraId="00000055">
      <w:pPr>
        <w:pageBreakBefore w:val="0"/>
        <w:ind w:left="0" w:firstLine="0"/>
        <w:rPr>
          <w:rFonts w:ascii="Times New Roman" w:eastAsia="Times New Roman" w:hAnsi="Times New Roman" w:cs="Times New Roman"/>
          <w:sz w:val="28"/>
          <w:szCs w:val="28"/>
          <w:highlight w:val="white"/>
        </w:rPr>
      </w:pPr>
    </w:p>
    <w:p w:rsidR="00000000" w:rsidRPr="00000000" w:rsidP="00000000" w14:paraId="00000056">
      <w:pPr>
        <w:pageBreakBefore w:val="0"/>
        <w:ind w:left="0" w:firstLine="0"/>
        <w:rPr>
          <w:rFonts w:ascii="Times New Roman" w:eastAsia="Times New Roman" w:hAnsi="Times New Roman" w:cs="Times New Roman"/>
          <w:b/>
          <w:sz w:val="28"/>
          <w:szCs w:val="28"/>
          <w:highlight w:val="white"/>
        </w:rPr>
      </w:pPr>
      <w:r w:rsidRPr="00000000">
        <w:rPr>
          <w:rFonts w:ascii="Times New Roman" w:eastAsia="Times New Roman" w:hAnsi="Times New Roman" w:cs="Times New Roman"/>
          <w:b/>
          <w:sz w:val="28"/>
          <w:szCs w:val="28"/>
          <w:highlight w:val="white"/>
          <w:rtl w:val="0"/>
        </w:rPr>
        <w:t>Recommendations</w:t>
      </w:r>
    </w:p>
    <w:p w:rsidR="00000000" w:rsidRPr="00000000" w:rsidP="00000000" w14:paraId="00000057">
      <w:pPr>
        <w:pageBreakBefore w:val="0"/>
        <w:ind w:left="0" w:firstLine="0"/>
        <w:rPr>
          <w:rFonts w:ascii="Times New Roman" w:eastAsia="Times New Roman" w:hAnsi="Times New Roman" w:cs="Times New Roman"/>
          <w:sz w:val="28"/>
          <w:szCs w:val="28"/>
          <w:highlight w:val="white"/>
        </w:rPr>
      </w:pPr>
    </w:p>
    <w:p w:rsidR="00000000" w:rsidRPr="00000000" w:rsidP="00000000" w14:paraId="00000058">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The Model constitution was passed by the CoSHA and the Students’ Senate in last tenure and should be actively pushed in the HMC and the Academic Senate for enforcement.</w:t>
      </w:r>
    </w:p>
    <w:p w:rsidR="00000000" w:rsidRPr="00000000" w:rsidP="00000000" w14:paraId="00000059">
      <w:pPr>
        <w:pageBreakBefore w:val="0"/>
        <w:rPr>
          <w:rFonts w:ascii="Times New Roman" w:eastAsia="Times New Roman" w:hAnsi="Times New Roman" w:cs="Times New Roman"/>
          <w:sz w:val="28"/>
          <w:szCs w:val="28"/>
          <w:highlight w:val="white"/>
        </w:rPr>
      </w:pPr>
    </w:p>
    <w:p w:rsidR="00000000" w:rsidRPr="00000000" w:rsidP="00000000" w14:paraId="0000005A">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It is strongly recommended that the future Councils take into account that the existing mess structure of IIT K is one of the best amongst all the IITs, and we should NEVER shift to a PSPP model due to the probable exploitation of the workers in that area, complete loss of leverage over the contractors and significant curd down of the power of HECs.</w:t>
      </w:r>
    </w:p>
    <w:p w:rsidR="00000000" w:rsidRPr="00000000" w:rsidP="00000000" w14:paraId="0000005B">
      <w:pPr>
        <w:pageBreakBefore w:val="0"/>
        <w:ind w:left="0" w:firstLine="0"/>
        <w:rPr>
          <w:rFonts w:ascii="Times New Roman" w:eastAsia="Times New Roman" w:hAnsi="Times New Roman" w:cs="Times New Roman"/>
          <w:sz w:val="28"/>
          <w:szCs w:val="28"/>
          <w:highlight w:val="white"/>
        </w:rPr>
      </w:pPr>
    </w:p>
    <w:p w:rsidR="00000000" w:rsidRPr="00000000" w:rsidP="00000000" w14:paraId="0000005C">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It is strongly recommended that the future councils be in constant touch with mess workers and </w:t>
      </w:r>
      <w:r w:rsidRPr="00000000">
        <w:rPr>
          <w:rFonts w:ascii="Times New Roman" w:eastAsia="Times New Roman" w:hAnsi="Times New Roman" w:cs="Times New Roman"/>
          <w:sz w:val="28"/>
          <w:szCs w:val="28"/>
          <w:highlight w:val="white"/>
          <w:rtl w:val="0"/>
        </w:rPr>
        <w:t>active student</w:t>
      </w:r>
      <w:r w:rsidRPr="00000000">
        <w:rPr>
          <w:rFonts w:ascii="Times New Roman" w:eastAsia="Times New Roman" w:hAnsi="Times New Roman" w:cs="Times New Roman"/>
          <w:sz w:val="28"/>
          <w:szCs w:val="28"/>
          <w:highlight w:val="white"/>
          <w:rtl w:val="0"/>
        </w:rPr>
        <w:t xml:space="preserve"> members. So, student representatives are aware of the ongoing problems of workers. </w:t>
      </w:r>
    </w:p>
    <w:p w:rsidR="00000000" w:rsidRPr="00000000" w:rsidP="00000000" w14:paraId="0000005D">
      <w:pPr>
        <w:pageBreakBefore w:val="0"/>
        <w:ind w:left="0" w:firstLine="0"/>
        <w:rPr>
          <w:rFonts w:ascii="Times New Roman" w:eastAsia="Times New Roman" w:hAnsi="Times New Roman" w:cs="Times New Roman"/>
          <w:sz w:val="28"/>
          <w:szCs w:val="28"/>
          <w:highlight w:val="white"/>
        </w:rPr>
      </w:pPr>
    </w:p>
    <w:p w:rsidR="00000000" w:rsidRPr="00000000" w:rsidP="00000000" w14:paraId="0000005E">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Hall 11 HEC consists of 1 Ph.D. student and other M.Tech students who will be graduating in May. So, to continue the smooth functioning of hall Elections should be conducted, and to solve this problem more PhD students (New) should be sent to Hall 11 and Hall 10. </w:t>
      </w:r>
    </w:p>
    <w:p w:rsidR="00000000" w:rsidRPr="00000000" w:rsidP="00000000" w14:paraId="0000005F">
      <w:pPr>
        <w:pageBreakBefore w:val="0"/>
        <w:ind w:left="720" w:firstLine="0"/>
        <w:rPr>
          <w:rFonts w:ascii="Times New Roman" w:eastAsia="Times New Roman" w:hAnsi="Times New Roman" w:cs="Times New Roman"/>
          <w:sz w:val="28"/>
          <w:szCs w:val="28"/>
          <w:highlight w:val="white"/>
        </w:rPr>
      </w:pPr>
    </w:p>
    <w:p w:rsidR="00000000" w:rsidRPr="00000000" w:rsidP="00000000" w14:paraId="00000060">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Feed India Organization was running in a few halls only but had to be completely suspended due to closure of the messes. Revival of this process should be given priority and this should be started in all halls together to make it a norm rather than an exception.</w:t>
      </w:r>
    </w:p>
    <w:p w:rsidR="00000000" w:rsidRPr="00000000" w:rsidP="00000000" w14:paraId="00000061">
      <w:pPr>
        <w:pageBreakBefore w:val="0"/>
        <w:ind w:left="720" w:firstLine="0"/>
        <w:rPr>
          <w:rFonts w:ascii="Times New Roman" w:eastAsia="Times New Roman" w:hAnsi="Times New Roman" w:cs="Times New Roman"/>
          <w:sz w:val="28"/>
          <w:szCs w:val="28"/>
          <w:highlight w:val="white"/>
        </w:rPr>
      </w:pPr>
    </w:p>
    <w:p w:rsidR="00000000" w:rsidRPr="00000000" w:rsidP="00000000" w14:paraId="00000062">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Central mess empanelment proposal passed in CoSHA should be implemented at the earliest so that newly elected HECs could benefit from the initiative. </w:t>
      </w:r>
    </w:p>
    <w:p w:rsidR="00000000" w:rsidRPr="00000000" w:rsidP="00000000" w14:paraId="00000063">
      <w:pPr>
        <w:pageBreakBefore w:val="0"/>
        <w:ind w:left="0" w:firstLine="0"/>
        <w:rPr>
          <w:rFonts w:ascii="Times New Roman" w:eastAsia="Times New Roman" w:hAnsi="Times New Roman" w:cs="Times New Roman"/>
          <w:sz w:val="28"/>
          <w:szCs w:val="28"/>
          <w:highlight w:val="white"/>
        </w:rPr>
      </w:pPr>
    </w:p>
    <w:p w:rsidR="00000000" w:rsidRPr="00000000" w:rsidP="00000000" w14:paraId="00000064">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Hall 14 will be ready by January 2023, To release the crunch to some extent some blocks of Hall 14 can be used before January for UG or PG boys. The option of Bunk Beds should be explored to solve this long-term problem. </w:t>
      </w:r>
    </w:p>
    <w:p w:rsidR="00000000" w:rsidRPr="00000000" w:rsidP="00000000" w14:paraId="00000065">
      <w:pPr>
        <w:pageBreakBefore w:val="0"/>
        <w:ind w:left="0" w:firstLine="0"/>
        <w:rPr>
          <w:rFonts w:ascii="Times New Roman" w:eastAsia="Times New Roman" w:hAnsi="Times New Roman" w:cs="Times New Roman"/>
          <w:sz w:val="28"/>
          <w:szCs w:val="28"/>
          <w:highlight w:val="white"/>
        </w:rPr>
      </w:pPr>
    </w:p>
    <w:p w:rsidR="00000000" w:rsidRPr="00000000" w:rsidP="00000000" w14:paraId="00000066">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Leaf composting should be explored along with drum composting, Selling extra manures to outside vendors should be explored. This will serve the institute with the monetary benefits. </w:t>
      </w:r>
    </w:p>
    <w:p w:rsidR="00000000" w:rsidRPr="00000000" w:rsidP="00000000" w14:paraId="00000067">
      <w:pPr>
        <w:pageBreakBefore w:val="0"/>
        <w:ind w:left="0" w:firstLine="0"/>
        <w:rPr>
          <w:rFonts w:ascii="Times New Roman" w:eastAsia="Times New Roman" w:hAnsi="Times New Roman" w:cs="Times New Roman"/>
          <w:sz w:val="28"/>
          <w:szCs w:val="28"/>
          <w:highlight w:val="white"/>
        </w:rPr>
      </w:pPr>
    </w:p>
    <w:p w:rsidR="00000000" w:rsidRPr="00000000" w:rsidP="00000000" w14:paraId="00000068">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In 2022 &amp; 2023, Festivals will be offline, and a large number of participants will be coming from outside. To counter this, the accommodation of participants should be planned before in CoSHA meeting along with consultation of the CoFA.</w:t>
      </w:r>
    </w:p>
    <w:p w:rsidR="00000000" w:rsidRPr="00000000" w:rsidP="00000000" w14:paraId="00000069">
      <w:pPr>
        <w:pageBreakBefore w:val="0"/>
        <w:ind w:left="0" w:firstLine="0"/>
        <w:rPr>
          <w:rFonts w:ascii="Times New Roman" w:eastAsia="Times New Roman" w:hAnsi="Times New Roman" w:cs="Times New Roman"/>
          <w:sz w:val="28"/>
          <w:szCs w:val="28"/>
          <w:highlight w:val="white"/>
        </w:rPr>
      </w:pPr>
    </w:p>
    <w:p w:rsidR="00000000" w:rsidRPr="00000000" w:rsidP="00000000" w14:paraId="0000006A">
      <w:pPr>
        <w:pageBreakBefore w:val="0"/>
        <w:numPr>
          <w:ilvl w:val="0"/>
          <w:numId w:val="3"/>
        </w:numPr>
        <w:ind w:left="720" w:hanging="36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The established direct connection between the student bodies and the workers should be sustained in the future, as it helps the HECs and CoSHA get the knowledge of working in mess and maintenance and inform them about any discrepancies in the process. </w:t>
      </w:r>
    </w:p>
    <w:p w:rsidR="00000000" w:rsidRPr="00000000" w:rsidP="00000000" w14:paraId="0000006B">
      <w:pPr>
        <w:pageBreakBefore w:val="0"/>
        <w:ind w:left="720" w:firstLine="0"/>
        <w:rPr>
          <w:rFonts w:ascii="Times New Roman" w:eastAsia="Times New Roman" w:hAnsi="Times New Roman" w:cs="Times New Roman"/>
          <w:sz w:val="28"/>
          <w:szCs w:val="28"/>
          <w:highlight w:val="white"/>
        </w:rPr>
      </w:pPr>
    </w:p>
    <w:p w:rsidR="00000000" w:rsidRPr="00000000" w:rsidP="00000000" w14:paraId="0000006C">
      <w:pPr>
        <w:widowControl w:val="0"/>
        <w:numPr>
          <w:ilvl w:val="0"/>
          <w:numId w:val="3"/>
        </w:numPr>
        <w:spacing w:after="160" w:line="276" w:lineRule="auto"/>
        <w:ind w:left="720" w:hanging="360"/>
        <w:jc w:val="both"/>
        <w:rPr>
          <w:rFonts w:ascii="Times New Roman" w:eastAsia="Times New Roman" w:hAnsi="Times New Roman" w:cs="Times New Roman"/>
          <w:sz w:val="28"/>
          <w:szCs w:val="28"/>
          <w:highlight w:val="white"/>
        </w:rPr>
      </w:pPr>
      <w:bookmarkStart w:id="0" w:name="_2egmg9k1wyg2" w:colFirst="0" w:colLast="0"/>
      <w:bookmarkEnd w:id="0"/>
      <w:r w:rsidRPr="00000000">
        <w:rPr>
          <w:rFonts w:ascii="Times New Roman" w:eastAsia="Times New Roman" w:hAnsi="Times New Roman" w:cs="Times New Roman"/>
          <w:sz w:val="28"/>
          <w:szCs w:val="28"/>
          <w:rtl w:val="0"/>
        </w:rPr>
        <w:t>All the Halls and Hall Offices are requested to maintain an accurate, complete, and updated record of the residents of the Hall. The data of Hall Offices has often been found to be incomplete or outdated.</w:t>
      </w:r>
    </w:p>
    <w:p w:rsidR="00000000" w:rsidRPr="00000000" w:rsidP="00000000" w14:paraId="0000006D">
      <w:pPr>
        <w:widowControl w:val="0"/>
        <w:spacing w:after="160" w:line="276" w:lineRule="auto"/>
        <w:ind w:left="720" w:firstLine="0"/>
        <w:jc w:val="both"/>
        <w:rPr>
          <w:rFonts w:ascii="Times New Roman" w:eastAsia="Times New Roman" w:hAnsi="Times New Roman" w:cs="Times New Roman"/>
          <w:sz w:val="28"/>
          <w:szCs w:val="28"/>
        </w:rPr>
      </w:pPr>
      <w:bookmarkStart w:id="1" w:name="_oght4hlv4rhi" w:colFirst="0" w:colLast="0"/>
      <w:bookmarkEnd w:id="1"/>
    </w:p>
    <w:p w:rsidR="00000000" w:rsidRPr="00000000" w:rsidP="00000000" w14:paraId="0000006E">
      <w:pPr>
        <w:widowControl w:val="0"/>
        <w:numPr>
          <w:ilvl w:val="0"/>
          <w:numId w:val="3"/>
        </w:numPr>
        <w:spacing w:after="160" w:line="276" w:lineRule="auto"/>
        <w:ind w:left="720" w:hanging="360"/>
        <w:jc w:val="both"/>
        <w:rPr>
          <w:rFonts w:ascii="Times New Roman" w:eastAsia="Times New Roman" w:hAnsi="Times New Roman" w:cs="Times New Roman"/>
          <w:sz w:val="28"/>
          <w:szCs w:val="28"/>
        </w:rPr>
      </w:pPr>
      <w:bookmarkStart w:id="2" w:name="_qx53nyho8d4h" w:colFirst="0" w:colLast="0"/>
      <w:bookmarkEnd w:id="2"/>
      <w:r w:rsidRPr="00000000">
        <w:rPr>
          <w:rFonts w:ascii="Times New Roman" w:eastAsia="Times New Roman" w:hAnsi="Times New Roman" w:cs="Times New Roman"/>
          <w:sz w:val="28"/>
          <w:szCs w:val="28"/>
          <w:rtl w:val="0"/>
        </w:rPr>
        <w:t xml:space="preserve"> More direct interactions with the members of the General Body in the form of frequent GBMs in various halls and conduction of surveys.</w:t>
      </w:r>
    </w:p>
    <w:p w:rsidR="00000000" w:rsidRPr="00000000" w:rsidP="00000000" w14:paraId="0000006F">
      <w:pPr>
        <w:widowControl w:val="0"/>
        <w:spacing w:after="160" w:line="276" w:lineRule="auto"/>
        <w:ind w:left="720" w:firstLine="0"/>
        <w:jc w:val="both"/>
        <w:rPr>
          <w:rFonts w:ascii="Times New Roman" w:eastAsia="Times New Roman" w:hAnsi="Times New Roman" w:cs="Times New Roman"/>
          <w:sz w:val="28"/>
          <w:szCs w:val="28"/>
        </w:rPr>
      </w:pPr>
      <w:bookmarkStart w:id="3" w:name="_giyjn8o1eeu0" w:colFirst="0" w:colLast="0"/>
      <w:bookmarkEnd w:id="3"/>
    </w:p>
    <w:p w:rsidR="00000000" w:rsidRPr="00000000" w:rsidP="00000000" w14:paraId="00000070">
      <w:pPr>
        <w:widowControl w:val="0"/>
        <w:numPr>
          <w:ilvl w:val="0"/>
          <w:numId w:val="3"/>
        </w:numPr>
        <w:spacing w:after="160" w:line="276" w:lineRule="auto"/>
        <w:ind w:left="720" w:hanging="360"/>
        <w:jc w:val="both"/>
        <w:rPr>
          <w:rFonts w:ascii="Times New Roman" w:eastAsia="Times New Roman" w:hAnsi="Times New Roman" w:cs="Times New Roman"/>
          <w:sz w:val="28"/>
          <w:szCs w:val="28"/>
        </w:rPr>
      </w:pPr>
      <w:bookmarkStart w:id="4" w:name="_i0k8yhnip5tb" w:colFirst="0" w:colLast="0"/>
      <w:bookmarkEnd w:id="4"/>
      <w:r w:rsidRPr="00000000">
        <w:rPr>
          <w:rFonts w:ascii="Times New Roman" w:eastAsia="Times New Roman" w:hAnsi="Times New Roman" w:cs="Times New Roman"/>
          <w:sz w:val="28"/>
          <w:szCs w:val="28"/>
          <w:rtl w:val="0"/>
        </w:rPr>
        <w:t xml:space="preserve"> Maintenance work in several halls should begin as soon as feasible and on agendas such as electricity issues.</w:t>
      </w:r>
    </w:p>
    <w:p w:rsidR="00000000" w:rsidRPr="00000000" w:rsidP="00000000" w14:paraId="00000071">
      <w:pPr>
        <w:widowControl w:val="0"/>
        <w:spacing w:after="160" w:line="276" w:lineRule="auto"/>
        <w:jc w:val="both"/>
        <w:rPr>
          <w:rFonts w:ascii="Times New Roman" w:eastAsia="Times New Roman" w:hAnsi="Times New Roman" w:cs="Times New Roman"/>
          <w:sz w:val="28"/>
          <w:szCs w:val="28"/>
        </w:rPr>
      </w:pPr>
      <w:bookmarkStart w:id="5" w:name="_8pp4coxzw2o0" w:colFirst="0" w:colLast="0"/>
      <w:bookmarkEnd w:id="5"/>
    </w:p>
    <w:p w:rsidR="00000000" w:rsidRPr="00000000" w:rsidP="00000000" w14:paraId="00000072">
      <w:pPr>
        <w:widowControl w:val="0"/>
        <w:numPr>
          <w:ilvl w:val="0"/>
          <w:numId w:val="3"/>
        </w:numPr>
        <w:spacing w:after="160" w:line="276" w:lineRule="auto"/>
        <w:ind w:left="720" w:hanging="360"/>
        <w:jc w:val="both"/>
        <w:rPr>
          <w:rFonts w:ascii="Times New Roman" w:eastAsia="Times New Roman" w:hAnsi="Times New Roman" w:cs="Times New Roman"/>
          <w:sz w:val="28"/>
          <w:szCs w:val="28"/>
        </w:rPr>
      </w:pPr>
      <w:bookmarkStart w:id="6" w:name="_2pb9lk56wsqp" w:colFirst="0" w:colLast="0"/>
      <w:bookmarkEnd w:id="6"/>
      <w:r w:rsidRPr="00000000">
        <w:rPr>
          <w:rFonts w:ascii="Times New Roman" w:eastAsia="Times New Roman" w:hAnsi="Times New Roman" w:cs="Times New Roman"/>
          <w:sz w:val="28"/>
          <w:szCs w:val="28"/>
          <w:rtl w:val="0"/>
        </w:rPr>
        <w:t xml:space="preserve"> There is a need to restructure the CoSHA to include more student members other than HECs, and team size has been a barrier to some initiatives sometimes. </w:t>
      </w:r>
    </w:p>
    <w:p w:rsidR="00000000" w:rsidRPr="00000000" w:rsidP="00000000" w14:paraId="00000073">
      <w:pPr>
        <w:widowControl w:val="0"/>
        <w:spacing w:after="160" w:line="276" w:lineRule="auto"/>
        <w:ind w:left="0" w:firstLine="0"/>
        <w:jc w:val="both"/>
        <w:rPr>
          <w:rFonts w:ascii="Times New Roman" w:eastAsia="Times New Roman" w:hAnsi="Times New Roman" w:cs="Times New Roman"/>
          <w:sz w:val="28"/>
          <w:szCs w:val="28"/>
        </w:rPr>
      </w:pPr>
      <w:bookmarkStart w:id="7" w:name="_3gtfhcjmn19m" w:colFirst="0" w:colLast="0"/>
      <w:bookmarkEnd w:id="7"/>
    </w:p>
    <w:p w:rsidR="00000000" w:rsidRPr="00000000" w:rsidP="00000000" w14:paraId="00000074">
      <w:pPr>
        <w:widowControl w:val="0"/>
        <w:numPr>
          <w:ilvl w:val="0"/>
          <w:numId w:val="3"/>
        </w:numPr>
        <w:spacing w:after="160" w:line="276" w:lineRule="auto"/>
        <w:ind w:left="720" w:hanging="360"/>
        <w:jc w:val="both"/>
        <w:rPr>
          <w:rFonts w:ascii="Times New Roman" w:eastAsia="Times New Roman" w:hAnsi="Times New Roman" w:cs="Times New Roman"/>
          <w:sz w:val="28"/>
          <w:szCs w:val="28"/>
          <w:u w:val="none"/>
        </w:rPr>
      </w:pPr>
      <w:bookmarkStart w:id="8" w:name="_km3ey3psoava" w:colFirst="0" w:colLast="0"/>
      <w:bookmarkEnd w:id="8"/>
      <w:r w:rsidRPr="00000000">
        <w:rPr>
          <w:rFonts w:ascii="Times New Roman" w:eastAsia="Times New Roman" w:hAnsi="Times New Roman" w:cs="Times New Roman"/>
          <w:sz w:val="28"/>
          <w:szCs w:val="28"/>
          <w:rtl w:val="0"/>
        </w:rPr>
        <w:t xml:space="preserve"> No new PG student should be allocated to Hall 6 until the crunch issue is resolved. </w:t>
      </w:r>
    </w:p>
    <w:p w:rsidR="00000000" w:rsidRPr="00000000" w:rsidP="00000000" w14:paraId="00000075">
      <w:pPr>
        <w:widowControl w:val="0"/>
        <w:spacing w:after="160" w:line="276" w:lineRule="auto"/>
        <w:ind w:left="0" w:firstLine="0"/>
        <w:jc w:val="both"/>
        <w:rPr>
          <w:rFonts w:ascii="Times New Roman" w:eastAsia="Times New Roman" w:hAnsi="Times New Roman" w:cs="Times New Roman"/>
          <w:sz w:val="28"/>
          <w:szCs w:val="28"/>
        </w:rPr>
      </w:pPr>
      <w:bookmarkStart w:id="9" w:name="_xhy37oguqz5t" w:colFirst="0" w:colLast="0"/>
      <w:bookmarkEnd w:id="9"/>
      <w:r w:rsidRPr="00000000">
        <w:rPr>
          <w:rFonts w:ascii="Times New Roman" w:eastAsia="Times New Roman" w:hAnsi="Times New Roman" w:cs="Times New Roman"/>
          <w:sz w:val="28"/>
          <w:szCs w:val="28"/>
          <w:rtl w:val="0"/>
        </w:rPr>
        <w:t>—-------------------------------------------------------------------------------------------------</w:t>
      </w:r>
    </w:p>
    <w:p w:rsidR="00000000" w:rsidRPr="00000000" w:rsidP="00000000" w14:paraId="00000076">
      <w:pPr>
        <w:widowControl w:val="0"/>
        <w:spacing w:after="160" w:line="276" w:lineRule="auto"/>
        <w:ind w:left="0" w:firstLine="0"/>
        <w:jc w:val="both"/>
        <w:rPr>
          <w:rFonts w:ascii="Times New Roman" w:eastAsia="Times New Roman" w:hAnsi="Times New Roman" w:cs="Times New Roman"/>
          <w:sz w:val="28"/>
          <w:szCs w:val="28"/>
        </w:rPr>
      </w:pPr>
      <w:bookmarkStart w:id="10" w:name="_bw1iixlopkq3" w:colFirst="0" w:colLast="0"/>
      <w:bookmarkEnd w:id="10"/>
      <w:r w:rsidRPr="00000000">
        <w:rPr>
          <w:rFonts w:ascii="Times New Roman" w:eastAsia="Times New Roman" w:hAnsi="Times New Roman" w:cs="Times New Roman"/>
          <w:sz w:val="28"/>
          <w:szCs w:val="28"/>
          <w:rtl w:val="0"/>
        </w:rPr>
        <w:t xml:space="preserve">Special Thanks to Vedaant Sikka, Kartik Gupta, Priya tholia, Khushdeep Tanwar, Kartikeya Dhakad, Sanidhya Rathore, Rohit Kejriwal, Saurav Suman, Parteek for helping and supporting me throughout the tenure. </w:t>
      </w:r>
    </w:p>
    <w:p w:rsidR="00000000" w:rsidRPr="00000000" w:rsidP="00000000" w14:paraId="00000077">
      <w:pPr>
        <w:widowControl w:val="0"/>
        <w:spacing w:after="160" w:line="276" w:lineRule="auto"/>
        <w:ind w:left="0" w:firstLine="0"/>
        <w:jc w:val="both"/>
        <w:rPr>
          <w:rFonts w:ascii="Times New Roman" w:eastAsia="Times New Roman" w:hAnsi="Times New Roman" w:cs="Times New Roman"/>
          <w:sz w:val="28"/>
          <w:szCs w:val="28"/>
        </w:rPr>
      </w:pPr>
      <w:bookmarkStart w:id="11" w:name="_lk4i25uod8fn" w:colFirst="0" w:colLast="0"/>
      <w:bookmarkEnd w:id="11"/>
    </w:p>
    <w:p w:rsidR="00000000" w:rsidRPr="00000000" w:rsidP="00000000" w14:paraId="00000078">
      <w:pPr>
        <w:widowControl w:val="0"/>
        <w:spacing w:after="160" w:line="276" w:lineRule="auto"/>
        <w:ind w:left="0" w:firstLine="0"/>
        <w:jc w:val="both"/>
        <w:rPr>
          <w:rFonts w:ascii="Times New Roman" w:eastAsia="Times New Roman" w:hAnsi="Times New Roman" w:cs="Times New Roman"/>
          <w:sz w:val="28"/>
          <w:szCs w:val="28"/>
        </w:rPr>
      </w:pPr>
      <w:bookmarkStart w:id="12" w:name="_idx9bw1zb1il" w:colFirst="0" w:colLast="0"/>
      <w:bookmarkEnd w:id="12"/>
      <w:r w:rsidRPr="00000000">
        <w:rPr>
          <w:rFonts w:ascii="Times New Roman" w:eastAsia="Times New Roman" w:hAnsi="Times New Roman" w:cs="Times New Roman"/>
          <w:sz w:val="28"/>
          <w:szCs w:val="28"/>
          <w:rtl w:val="0"/>
        </w:rPr>
        <w:t xml:space="preserve">                                                       </w:t>
      </w:r>
    </w:p>
    <w:p w:rsidR="00000000" w:rsidRPr="00000000" w:rsidP="00000000" w14:paraId="00000079">
      <w:pPr>
        <w:pageBreakBefore w:val="0"/>
        <w:ind w:left="0" w:firstLine="0"/>
        <w:rPr>
          <w:rFonts w:ascii="Times New Roman" w:eastAsia="Times New Roman" w:hAnsi="Times New Roman" w:cs="Times New Roman"/>
          <w:sz w:val="28"/>
          <w:szCs w:val="28"/>
          <w:highlight w:val="white"/>
        </w:rPr>
      </w:pPr>
    </w:p>
    <w:p w:rsidR="00000000" w:rsidRPr="00000000" w:rsidP="00000000" w14:paraId="0000007A">
      <w:pPr>
        <w:pageBreakBefore w:val="0"/>
        <w:ind w:left="0" w:firstLine="0"/>
        <w:rPr>
          <w:rFonts w:ascii="Times New Roman" w:eastAsia="Times New Roman" w:hAnsi="Times New Roman" w:cs="Times New Roman"/>
          <w:sz w:val="28"/>
          <w:szCs w:val="28"/>
          <w:highlight w:val="white"/>
        </w:rPr>
      </w:pPr>
      <w:r w:rsidRPr="00000000">
        <w:rPr>
          <w:rFonts w:ascii="Times New Roman" w:eastAsia="Times New Roman" w:hAnsi="Times New Roman" w:cs="Times New Roman"/>
          <w:sz w:val="28"/>
          <w:szCs w:val="28"/>
          <w:highlight w:val="white"/>
          <w:rtl w:val="0"/>
        </w:rPr>
        <w:t xml:space="preserve"> </w:t>
      </w:r>
    </w:p>
    <w:p w:rsidR="00000000" w:rsidRPr="00000000" w:rsidP="00000000" w14:paraId="0000007B">
      <w:pPr>
        <w:pageBreakBefore w:val="0"/>
        <w:ind w:left="0" w:firstLine="0"/>
        <w:rPr>
          <w:rFonts w:ascii="Times New Roman" w:eastAsia="Times New Roman" w:hAnsi="Times New Roman" w:cs="Times New Roman"/>
          <w:sz w:val="28"/>
          <w:szCs w:val="28"/>
          <w:highlight w:val="white"/>
        </w:rPr>
      </w:pPr>
    </w:p>
    <w:p w:rsidR="00000000" w:rsidRPr="00000000" w:rsidP="00000000" w14:paraId="0000007C">
      <w:pPr>
        <w:pageBreakBefore w:val="0"/>
        <w:ind w:left="720" w:firstLine="0"/>
        <w:rPr>
          <w:rFonts w:ascii="Times New Roman" w:eastAsia="Times New Roman" w:hAnsi="Times New Roman" w:cs="Times New Roman"/>
          <w:sz w:val="28"/>
          <w:szCs w:val="28"/>
          <w:highlight w:val="white"/>
        </w:rPr>
      </w:pPr>
    </w:p>
    <w:p w:rsidR="00000000" w:rsidRPr="00000000" w:rsidP="00000000" w14:paraId="0000007D">
      <w:pPr>
        <w:pageBreakBefore w:val="0"/>
        <w:ind w:left="720" w:firstLine="0"/>
        <w:rPr>
          <w:rFonts w:ascii="Times New Roman" w:eastAsia="Times New Roman" w:hAnsi="Times New Roman" w:cs="Times New Roman"/>
          <w:sz w:val="28"/>
          <w:szCs w:val="28"/>
          <w:highlight w:val="white"/>
        </w:rPr>
      </w:pPr>
    </w:p>
    <w:sectPr>
      <w:headerReference w:type="default" r:id="rId4"/>
      <w:footerReference w:type="default" r:id="rId5"/>
      <w:pgSz w:w="12240" w:h="15840" w:orient="portrait"/>
      <w:pgMar w:top="1440" w:right="1440" w:bottom="1440" w:left="1440" w:header="0" w:footer="144"/>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81">
    <w:pPr>
      <w:pageBreakBefore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7E">
    <w:pPr>
      <w:pageBreakBefore w:val="0"/>
      <w:widowControl w:val="0"/>
      <w:tabs>
        <w:tab w:val="center" w:pos="4513"/>
        <w:tab w:val="right" w:pos="9026"/>
      </w:tabs>
      <w:spacing w:before="426" w:line="240" w:lineRule="auto"/>
      <w:jc w:val="left"/>
      <w:rPr>
        <w:rFonts w:ascii="Times New Roman" w:eastAsia="Times New Roman" w:hAnsi="Times New Roman" w:cs="Times New Roman"/>
        <w:sz w:val="36"/>
        <w:szCs w:val="36"/>
      </w:rPr>
    </w:pPr>
    <w:r w:rsidRPr="00000000">
      <w:drawing>
        <wp:anchor distT="0" distB="0" distL="114300" distR="114300" simplePos="0" relativeHeight="251658240" behindDoc="0" locked="0" layoutInCell="1" allowOverlap="1">
          <wp:simplePos x="0" y="0"/>
          <wp:positionH relativeFrom="column">
            <wp:posOffset>-647699</wp:posOffset>
          </wp:positionH>
          <wp:positionV relativeFrom="paragraph">
            <wp:posOffset>123825</wp:posOffset>
          </wp:positionV>
          <wp:extent cx="1057275" cy="1043305"/>
          <wp:effectExtent l="0" t="0" r="0" b="0"/>
          <wp:wrapSquare wrapText="bothSides"/>
          <wp:docPr id="1" name="image1.jpg" descr="C:\Users\Vedant Goenka\Downloads\E-Cell\Logo files\Others_Non E-Cell\IITK_blacklogo.jpg"/>
          <wp:cNvGraphicFramePr/>
          <a:graphic xmlns:a="http://schemas.openxmlformats.org/drawingml/2006/main">
            <a:graphicData uri="http://schemas.openxmlformats.org/drawingml/2006/picture">
              <pic:pic xmlns:pic="http://schemas.openxmlformats.org/drawingml/2006/picture">
                <pic:nvPicPr>
                  <pic:cNvPr id="1" name="image1.jpg" descr="C:\Users\Vedant Goenka\Downloads\E-Cell\Logo files\Others_Non E-Cell\IITK_blacklogo.jpg"/>
                  <pic:cNvPicPr/>
                </pic:nvPicPr>
                <pic:blipFill>
                  <a:blip xmlns:r="http://schemas.openxmlformats.org/officeDocument/2006/relationships" r:embed="rId1"/>
                  <a:stretch>
                    <a:fillRect/>
                  </a:stretch>
                </pic:blipFill>
                <pic:spPr>
                  <a:xfrm>
                    <a:off x="0" y="0"/>
                    <a:ext cx="1057275" cy="1043305"/>
                  </a:xfrm>
                  <a:prstGeom prst="rect">
                    <a:avLst/>
                  </a:prstGeom>
                </pic:spPr>
              </pic:pic>
            </a:graphicData>
          </a:graphic>
        </wp:anchor>
      </w:drawing>
    </w:r>
    <w:r w:rsidRPr="00000000">
      <w:drawing>
        <wp:anchor distT="0" distB="0" distL="114300" distR="114300" simplePos="0" relativeHeight="251659264" behindDoc="0" locked="0" layoutInCell="1" allowOverlap="1">
          <wp:simplePos x="0" y="0"/>
          <wp:positionH relativeFrom="column">
            <wp:posOffset>-647699</wp:posOffset>
          </wp:positionH>
          <wp:positionV relativeFrom="paragraph">
            <wp:posOffset>123825</wp:posOffset>
          </wp:positionV>
          <wp:extent cx="1057275" cy="1043305"/>
          <wp:effectExtent l="0" t="0" r="0" b="0"/>
          <wp:wrapSquare wrapText="bothSides"/>
          <wp:docPr id="2" name="image2.jpg" descr="C:\Users\Vedant Goenka\Downloads\E-Cell\Logo files\Others_Non E-Cell\IITK_blacklogo.jpg"/>
          <wp:cNvGraphicFramePr/>
          <a:graphic xmlns:a="http://schemas.openxmlformats.org/drawingml/2006/main">
            <a:graphicData uri="http://schemas.openxmlformats.org/drawingml/2006/picture">
              <pic:pic xmlns:pic="http://schemas.openxmlformats.org/drawingml/2006/picture">
                <pic:nvPicPr>
                  <pic:cNvPr id="2" name="image2.jpg" descr="C:\Users\Vedant Goenka\Downloads\E-Cell\Logo files\Others_Non E-Cell\IITK_blacklogo.jpg"/>
                  <pic:cNvPicPr/>
                </pic:nvPicPr>
                <pic:blipFill>
                  <a:blip xmlns:r="http://schemas.openxmlformats.org/officeDocument/2006/relationships" r:embed="rId1"/>
                  <a:stretch>
                    <a:fillRect/>
                  </a:stretch>
                </pic:blipFill>
                <pic:spPr>
                  <a:xfrm>
                    <a:off x="0" y="0"/>
                    <a:ext cx="1057275" cy="1043305"/>
                  </a:xfrm>
                  <a:prstGeom prst="rect">
                    <a:avLst/>
                  </a:prstGeom>
                </pic:spPr>
              </pic:pic>
            </a:graphicData>
          </a:graphic>
        </wp:anchor>
      </w:drawing>
    </w:r>
    <w:r w:rsidRPr="00000000">
      <w:drawing>
        <wp:anchor distT="0" distB="0" distL="114300" distR="114300" simplePos="0" relativeHeight="251660288" behindDoc="0" locked="0" layoutInCell="1" allowOverlap="1">
          <wp:simplePos x="0" y="0"/>
          <wp:positionH relativeFrom="column">
            <wp:posOffset>5343525</wp:posOffset>
          </wp:positionH>
          <wp:positionV relativeFrom="paragraph">
            <wp:posOffset>123825</wp:posOffset>
          </wp:positionV>
          <wp:extent cx="1151890" cy="1043305"/>
          <wp:effectExtent l="0" t="0" r="0" b="0"/>
          <wp:wrapSquare wrapText="bothSides"/>
          <wp:docPr id="3" name="image3.jpg" descr="C:\Users\SCARS Lapi\Desktop\senate\Antaragni\Students Gymkhana_files\image004.jpg"/>
          <wp:cNvGraphicFramePr/>
          <a:graphic xmlns:a="http://schemas.openxmlformats.org/drawingml/2006/main">
            <a:graphicData uri="http://schemas.openxmlformats.org/drawingml/2006/picture">
              <pic:pic xmlns:pic="http://schemas.openxmlformats.org/drawingml/2006/picture">
                <pic:nvPicPr>
                  <pic:cNvPr id="3" name="image3.jpg" descr="C:\Users\SCARS Lapi\Desktop\senate\Antaragni\Students Gymkhana_files\image004.jpg"/>
                  <pic:cNvPicPr/>
                </pic:nvPicPr>
                <pic:blipFill>
                  <a:blip xmlns:r="http://schemas.openxmlformats.org/officeDocument/2006/relationships" r:embed="rId2"/>
                  <a:stretch>
                    <a:fillRect/>
                  </a:stretch>
                </pic:blipFill>
                <pic:spPr>
                  <a:xfrm>
                    <a:off x="0" y="0"/>
                    <a:ext cx="1151890" cy="1043305"/>
                  </a:xfrm>
                  <a:prstGeom prst="rect">
                    <a:avLst/>
                  </a:prstGeom>
                </pic:spPr>
              </pic:pic>
            </a:graphicData>
          </a:graphic>
        </wp:anchor>
      </w:drawing>
    </w:r>
  </w:p>
  <w:p w:rsidR="00000000" w:rsidRPr="00000000" w:rsidP="00000000" w14:paraId="0000007F">
    <w:pPr>
      <w:pageBreakBefore w:val="0"/>
      <w:widowControl w:val="0"/>
      <w:tabs>
        <w:tab w:val="center" w:pos="4513"/>
        <w:tab w:val="right" w:pos="9026"/>
      </w:tabs>
      <w:spacing w:before="426" w:line="240" w:lineRule="auto"/>
      <w:jc w:val="center"/>
      <w:rPr>
        <w:rFonts w:ascii="Times New Roman" w:eastAsia="Times New Roman" w:hAnsi="Times New Roman" w:cs="Times New Roman"/>
        <w:sz w:val="36"/>
        <w:szCs w:val="36"/>
      </w:rPr>
    </w:pPr>
    <w:r w:rsidRPr="00000000">
      <w:rPr>
        <w:rFonts w:ascii="Times New Roman" w:eastAsia="Times New Roman" w:hAnsi="Times New Roman" w:cs="Times New Roman"/>
        <w:sz w:val="36"/>
        <w:szCs w:val="36"/>
        <w:rtl w:val="0"/>
      </w:rPr>
      <w:t xml:space="preserve"> Indian Institute of Technology, Kanpur           Council of Students' for Hostel Affairs               Convener | Nirmal Agarwal</w:t>
    </w:r>
  </w:p>
  <w:p w:rsidR="00000000" w:rsidRPr="00000000" w:rsidP="00000000">
    <w:pPr>
      <w:pageBreakBefore w:val="0"/>
      <w:widowControl w:val="0"/>
      <w:tabs>
        <w:tab w:val="center" w:pos="4513"/>
        <w:tab w:val="right" w:pos="9026"/>
      </w:tabs>
      <w:spacing w:before="426" w:line="240" w:lineRule="auto"/>
      <w:jc w:val="center"/>
      <w:rPr>
        <w:rFonts w:ascii="Times New Roman" w:eastAsia="Times New Roman" w:hAnsi="Times New Roman" w:cs="Times New Roman"/>
        <w:sz w:val="36"/>
        <w:szCs w:val="36"/>
      </w:rPr>
    </w:pPr>
    <w:r w:rsidRPr="00000000">
      <w:rPr>
        <w:rFonts w:ascii="Times New Roman" w:eastAsia="Times New Roman" w:hAnsi="Times New Roman" w:cs="Times New Roman"/>
        <w:sz w:val="36"/>
        <w:szCs w:val="36"/>
        <w:rtl w:val="0"/>
      </w:rPr>
      <w:t xml:space="preserve"> </w:t>
    </w:r>
  </w:p>
  <w:p w:rsidR="00000000" w:rsidRPr="00000000" w:rsidP="00000000" w14:paraId="00000080">
    <w:pPr>
      <w:pageBreakBefore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FD576"/>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987C383"/>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DD1A96A"/>
    <w:multiLevelType w:val="hybridMultilevel"/>
    <w:tmpl w:val="000000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ageBreakBefore w:val="0"/>
      <w:spacing w:before="400" w:after="120"/>
      <w:outlineLvl w:val="0"/>
    </w:pPr>
    <w:rPr>
      <w:sz w:val="40"/>
      <w:szCs w:val="40"/>
    </w:rPr>
  </w:style>
  <w:style w:type="paragraph" w:styleId="Heading2">
    <w:name w:val="heading 2"/>
    <w:basedOn w:val="Normal"/>
    <w:next w:val="Normal"/>
    <w:pPr>
      <w:keepNext/>
      <w:keepLines/>
      <w:pageBreakBefore w:val="0"/>
      <w:spacing w:before="360" w:after="120"/>
      <w:outlineLvl w:val="1"/>
    </w:pPr>
    <w:rPr>
      <w:b w:val="0"/>
      <w:sz w:val="32"/>
      <w:szCs w:val="32"/>
    </w:rPr>
  </w:style>
  <w:style w:type="paragraph" w:styleId="Heading3">
    <w:name w:val="heading 3"/>
    <w:basedOn w:val="Normal"/>
    <w:next w:val="Normal"/>
    <w:pPr>
      <w:keepNext/>
      <w:keepLines/>
      <w:pageBreakBefore w:val="0"/>
      <w:spacing w:before="320" w:after="80"/>
      <w:outlineLvl w:val="2"/>
    </w:pPr>
    <w:rPr>
      <w:b w:val="0"/>
      <w:color w:val="434343"/>
      <w:sz w:val="28"/>
      <w:szCs w:val="28"/>
    </w:rPr>
  </w:style>
  <w:style w:type="paragraph" w:styleId="Heading4">
    <w:name w:val="heading 4"/>
    <w:basedOn w:val="Normal"/>
    <w:next w:val="Normal"/>
    <w:pPr>
      <w:keepNext/>
      <w:keepLines/>
      <w:pageBreakBefore w:val="0"/>
      <w:spacing w:before="280" w:after="80"/>
      <w:outlineLvl w:val="3"/>
    </w:pPr>
    <w:rPr>
      <w:color w:val="666666"/>
      <w:sz w:val="24"/>
      <w:szCs w:val="24"/>
    </w:rPr>
  </w:style>
  <w:style w:type="paragraph" w:styleId="Heading5">
    <w:name w:val="heading 5"/>
    <w:basedOn w:val="Normal"/>
    <w:next w:val="Normal"/>
    <w:pPr>
      <w:keepNext/>
      <w:keepLines/>
      <w:pageBreakBefore w:val="0"/>
      <w:spacing w:before="240" w:after="80"/>
      <w:outlineLvl w:val="4"/>
    </w:pPr>
    <w:rPr>
      <w:color w:val="666666"/>
      <w:sz w:val="22"/>
      <w:szCs w:val="22"/>
    </w:rPr>
  </w:style>
  <w:style w:type="paragraph" w:styleId="Heading6">
    <w:name w:val="heading 6"/>
    <w:basedOn w:val="Normal"/>
    <w:next w:val="Normal"/>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pageBreakBefore w:val="0"/>
      <w:spacing w:before="0" w:after="60"/>
    </w:pPr>
    <w:rPr>
      <w:sz w:val="52"/>
      <w:szCs w:val="52"/>
    </w:rPr>
  </w:style>
  <w:style w:type="paragraph" w:styleId="Subtitle">
    <w:name w:val="Subtitle"/>
    <w:basedOn w:val="Normal"/>
    <w:next w:val="Normal"/>
    <w:pPr>
      <w:keepNext/>
      <w:keepLines/>
      <w:pageBreakBefore w:val="0"/>
      <w:spacing w:before="0" w:after="320"/>
    </w:pPr>
    <w:rPr>
      <w:rFonts w:ascii="Arial" w:eastAsia="Arial" w:hAnsi="Arial" w:cs="Arial"/>
      <w:i w:val="0"/>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